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19" w:name="_GoBack"/>
      <w:bookmarkEnd w:id="19"/>
    </w:p>
    <w:p w14:paraId="0B93FCD0">
      <w:pPr>
        <w:jc w:val="center"/>
        <w:rPr>
          <w:rFonts w:hint="eastAsia" w:ascii="方正姚体" w:hAnsi="宋体" w:eastAsia="方正姚体" w:cs="Times New Roman"/>
          <w:b/>
          <w:sz w:val="40"/>
          <w:szCs w:val="40"/>
        </w:rPr>
      </w:pPr>
    </w:p>
    <w:p w14:paraId="4756662B">
      <w:pPr>
        <w:jc w:val="center"/>
        <w:rPr>
          <w:rFonts w:hint="eastAsia" w:ascii="方正姚体" w:hAnsi="宋体" w:eastAsia="方正姚体" w:cs="Times New Roman"/>
          <w:b/>
          <w:sz w:val="40"/>
          <w:szCs w:val="40"/>
        </w:rPr>
      </w:pPr>
    </w:p>
    <w:p w14:paraId="589A58B6">
      <w:pPr>
        <w:spacing w:line="300" w:lineRule="auto"/>
        <w:ind w:right="-913" w:rightChars="-435"/>
        <w:jc w:val="center"/>
        <w:rPr>
          <w:rFonts w:ascii="黑体" w:hAnsi="Calibri" w:eastAsia="黑体" w:cs="Times New Roman"/>
          <w:sz w:val="52"/>
          <w:szCs w:val="52"/>
        </w:rPr>
      </w:pPr>
      <w:r>
        <w:rPr>
          <w:rFonts w:hint="eastAsia" w:ascii="宋体" w:hAnsi="宋体" w:eastAsia="宋体" w:cs="Times New Roman"/>
          <w:b/>
          <w:sz w:val="40"/>
          <w:szCs w:val="40"/>
        </w:rPr>
        <w:t>金审学院楼宇校园光网增补扩建项目</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w:t>
      </w:r>
      <w:r>
        <w:rPr>
          <w:rFonts w:hint="eastAsia" w:ascii="宋体" w:hAnsi="宋体" w:eastAsia="宋体" w:cs="Times New Roman"/>
          <w:b/>
          <w:bCs/>
          <w:sz w:val="32"/>
          <w:szCs w:val="32"/>
          <w:u w:val="single"/>
        </w:rPr>
        <w:t>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2024年10月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13</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15</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27</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7BD8809C">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金审学院楼宇校园光网增补扩建项目已由项目审批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项目名称：金审学院楼宇校园光网增补扩建项目</w:t>
      </w:r>
    </w:p>
    <w:p w14:paraId="13DD954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招标内容：为了配套1#宿舍、6#宿舍、一站式服务中心、教学C西、C北、行政楼、8号宿舍改教室、快递驿站、商业街等项目的实施，需要进行无线网络的安装和线路的敷设，具体要求详见第四章项目需求。</w:t>
      </w:r>
    </w:p>
    <w:p w14:paraId="3609542E">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最高限价：3</w:t>
      </w:r>
      <w:r>
        <w:rPr>
          <w:rFonts w:hint="eastAsia" w:ascii="宋体" w:hAnsi="宋体" w:eastAsia="宋体" w:cs="Times New Roman"/>
          <w:sz w:val="24"/>
        </w:rPr>
        <w:t>3万</w:t>
      </w:r>
      <w:r>
        <w:rPr>
          <w:rFonts w:hint="eastAsia" w:ascii="宋体" w:hAnsi="宋体" w:eastAsia="宋体" w:cs="Times New Roman"/>
          <w:sz w:val="24"/>
          <w:lang w:val="zh-CN"/>
        </w:rPr>
        <w:t>元</w:t>
      </w:r>
    </w:p>
    <w:p w14:paraId="1EEF469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交货期：按照采购人的项目进度，分批次施工，每一批次施工工期为20天。</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、具有良好的商业信誉和健全的财务会计制度（提供202</w:t>
      </w:r>
      <w:r>
        <w:rPr>
          <w:rFonts w:hint="eastAsia" w:ascii="宋体" w:hAnsi="宋体" w:eastAsia="宋体" w:cs="Times New Roman"/>
          <w:sz w:val="24"/>
        </w:rPr>
        <w:t>3</w:t>
      </w:r>
      <w:r>
        <w:rPr>
          <w:rFonts w:ascii="宋体" w:hAnsi="宋体" w:eastAsia="宋体" w:cs="Times New Roman"/>
          <w:sz w:val="24"/>
        </w:rPr>
        <w:t>年度经审计的财务报表，或招标截止时间前六个月内银行出具的资信证明）；</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1、获取时间：从 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10</w:t>
      </w:r>
      <w:r>
        <w:rPr>
          <w:rFonts w:ascii="宋体" w:hAnsi="宋体" w:eastAsia="宋体" w:cs="Times New Roman"/>
          <w:sz w:val="24"/>
          <w:lang w:val="zh-CN"/>
        </w:rPr>
        <w:t>月</w:t>
      </w:r>
      <w:r>
        <w:rPr>
          <w:rFonts w:hint="eastAsia" w:ascii="宋体" w:hAnsi="宋体" w:eastAsia="宋体" w:cs="Times New Roman"/>
          <w:sz w:val="24"/>
          <w:lang w:val="zh-CN"/>
        </w:rPr>
        <w:t>29</w:t>
      </w:r>
      <w:r>
        <w:rPr>
          <w:rFonts w:ascii="宋体" w:hAnsi="宋体" w:eastAsia="宋体" w:cs="Times New Roman"/>
          <w:sz w:val="24"/>
          <w:lang w:val="zh-CN"/>
        </w:rPr>
        <w:t>日09时00分到202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11</w:t>
      </w:r>
      <w:r>
        <w:rPr>
          <w:rFonts w:ascii="宋体" w:hAnsi="宋体" w:eastAsia="宋体" w:cs="Times New Roman"/>
          <w:sz w:val="24"/>
          <w:lang w:val="zh-CN"/>
        </w:rPr>
        <w:t>月</w:t>
      </w:r>
      <w:r>
        <w:rPr>
          <w:rFonts w:hint="eastAsia" w:ascii="宋体" w:hAnsi="宋体" w:eastAsia="宋体" w:cs="Times New Roman"/>
          <w:sz w:val="24"/>
          <w:lang w:val="zh-CN"/>
        </w:rPr>
        <w:t>4</w:t>
      </w:r>
      <w:r>
        <w:rPr>
          <w:rFonts w:ascii="宋体" w:hAnsi="宋体" w:eastAsia="宋体" w:cs="Times New Roman"/>
          <w:sz w:val="24"/>
          <w:lang w:val="zh-CN"/>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2、报名资料：包括委托人将单位介绍信或法人授权委托书、领取文件登记表（详见附件）、文件费转账截图发送至邮箱。本项目只接受网上报名，受理报名邮箱为zbb_naujsc@163.com，报名联系人：张老师025-85780003</w:t>
      </w:r>
    </w:p>
    <w:p w14:paraId="7C11D69C">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sz w:val="24"/>
          <w:lang w:val="zh-CN"/>
        </w:rPr>
        <w:t>5</w:t>
      </w:r>
      <w:r>
        <w:rPr>
          <w:rFonts w:ascii="宋体" w:hAnsi="宋体" w:eastAsia="宋体" w:cs="Times New Roman"/>
          <w:sz w:val="24"/>
          <w:lang w:val="zh-CN"/>
        </w:rPr>
        <w:t>00元，售后不退。文件费电汇至如下账户：南京审计大学金审学院，开户银行名称：</w:t>
      </w:r>
      <w:r>
        <w:rPr>
          <w:rFonts w:hint="eastAsia" w:ascii="宋体" w:hAnsi="宋体" w:eastAsia="宋体" w:cs="Times New Roman"/>
          <w:sz w:val="24"/>
          <w:lang w:val="zh-CN"/>
        </w:rPr>
        <w:t>工商银行紫东支行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，汇款请注明投标项目名称：金审</w:t>
      </w:r>
      <w:r>
        <w:rPr>
          <w:rFonts w:hint="eastAsia" w:ascii="宋体" w:hAnsi="宋体" w:eastAsia="宋体" w:cs="Times New Roman"/>
          <w:sz w:val="24"/>
          <w:lang w:val="zh-CN"/>
        </w:rPr>
        <w:t>光网扩建</w:t>
      </w:r>
      <w:r>
        <w:rPr>
          <w:rFonts w:ascii="宋体" w:hAnsi="宋体" w:eastAsia="宋体" w:cs="Times New Roman"/>
          <w:sz w:val="24"/>
          <w:lang w:val="zh-CN"/>
        </w:rPr>
        <w:t>项目。</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1、响应文件提交开始时间：2024年11月8日9时00分。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2、响应文件提交截止时间：2024年11月8日9时30分。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3、响应文件提交地点：南京市栖霞区仙林大道100号图书馆北五楼会议室（如修改开标地点，招标人另行通知）。</w:t>
      </w:r>
    </w:p>
    <w:p w14:paraId="62C4FAD7">
      <w:pPr>
        <w:autoSpaceDE w:val="0"/>
        <w:autoSpaceDN w:val="0"/>
        <w:adjustRightInd w:val="0"/>
        <w:spacing w:line="360" w:lineRule="auto"/>
        <w:ind w:firstLine="480" w:firstLineChars="200"/>
        <w:rPr>
          <w:rFonts w:hint="eastAsia" w:ascii="宋体" w:hAnsi="宋体" w:eastAsia="宋体" w:cs="Times New Roman"/>
          <w:b/>
          <w:bCs/>
          <w:sz w:val="24"/>
        </w:rPr>
      </w:pPr>
      <w:r>
        <w:rPr>
          <w:rFonts w:hint="eastAsia" w:ascii="宋体" w:hAnsi="宋体" w:eastAsia="宋体" w:cs="Times New Roman"/>
          <w:sz w:val="24"/>
        </w:rPr>
        <w:t>4、响应文件份数：纸质版响应文件一式叁份（壹份正本、贰份副本），电子版响应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sz w:val="24"/>
        </w:rPr>
        <w:t>202</w:t>
      </w:r>
      <w:r>
        <w:rPr>
          <w:rFonts w:hint="eastAsia" w:ascii="宋体" w:hAnsi="宋体" w:eastAsia="宋体" w:cs="Times New Roman"/>
          <w:sz w:val="24"/>
        </w:rPr>
        <w:t>4</w:t>
      </w:r>
      <w:r>
        <w:rPr>
          <w:rFonts w:ascii="宋体" w:hAnsi="宋体" w:eastAsia="宋体" w:cs="Times New Roman"/>
          <w:sz w:val="24"/>
        </w:rPr>
        <w:t>年</w:t>
      </w:r>
      <w:r>
        <w:rPr>
          <w:rFonts w:hint="eastAsia" w:ascii="宋体" w:hAnsi="宋体" w:eastAsia="宋体" w:cs="Times New Roman"/>
          <w:sz w:val="24"/>
        </w:rPr>
        <w:t>11</w:t>
      </w:r>
      <w:r>
        <w:rPr>
          <w:rFonts w:ascii="宋体" w:hAnsi="宋体" w:eastAsia="宋体" w:cs="Times New Roman"/>
          <w:sz w:val="24"/>
        </w:rPr>
        <w:t>月</w:t>
      </w:r>
      <w:r>
        <w:rPr>
          <w:rFonts w:hint="eastAsia" w:ascii="宋体" w:hAnsi="宋体" w:eastAsia="宋体" w:cs="Times New Roman"/>
          <w:sz w:val="24"/>
        </w:rPr>
        <w:t>8</w:t>
      </w:r>
      <w:r>
        <w:rPr>
          <w:rFonts w:ascii="宋体" w:hAnsi="宋体" w:eastAsia="宋体" w:cs="Times New Roman"/>
          <w:sz w:val="24"/>
        </w:rPr>
        <w:t>日</w:t>
      </w:r>
      <w:r>
        <w:rPr>
          <w:rFonts w:hint="eastAsia" w:ascii="宋体" w:hAnsi="宋体" w:eastAsia="宋体" w:cs="Times New Roman"/>
          <w:sz w:val="24"/>
        </w:rPr>
        <w:t>9</w:t>
      </w:r>
      <w:r>
        <w:rPr>
          <w:rFonts w:ascii="宋体" w:hAnsi="宋体" w:eastAsia="宋体" w:cs="Times New Roman"/>
          <w:sz w:val="24"/>
        </w:rPr>
        <w:t>时</w:t>
      </w:r>
      <w:r>
        <w:rPr>
          <w:rFonts w:hint="eastAsia" w:ascii="宋体" w:hAnsi="宋体" w:eastAsia="宋体" w:cs="Times New Roman"/>
          <w:sz w:val="24"/>
        </w:rPr>
        <w:t>30</w:t>
      </w:r>
      <w:r>
        <w:rPr>
          <w:rFonts w:ascii="宋体" w:hAnsi="宋体" w:eastAsia="宋体" w:cs="Times New Roman"/>
          <w:sz w:val="24"/>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开标地点：南京市栖霞区仙林大道100号图书馆北五楼会议室（如修改开标地点，招标人另行通知）。</w:t>
      </w:r>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5D3EEEE2">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2、投标人于投标报名截止前自行勘察现场，勘察联系人：李焕 13851532855</w:t>
      </w:r>
    </w:p>
    <w:p w14:paraId="525F4D8F">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七、监督部门</w:t>
      </w:r>
    </w:p>
    <w:p w14:paraId="2D2F51A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本招标项目的监督部门为：</w:t>
      </w:r>
      <w:r>
        <w:rPr>
          <w:rFonts w:ascii="宋体" w:hAnsi="宋体" w:eastAsia="宋体" w:cs="Times New Roman"/>
          <w:sz w:val="24"/>
          <w:lang w:val="zh-CN"/>
        </w:rPr>
        <w:t>/。</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八、联系方式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4896C3A3">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联</w:t>
      </w:r>
      <w:r>
        <w:rPr>
          <w:rFonts w:ascii="宋体" w:hAnsi="宋体" w:eastAsia="宋体" w:cs="Times New Roman"/>
          <w:sz w:val="24"/>
          <w:lang w:val="zh-CN"/>
        </w:rPr>
        <w:t xml:space="preserve"> 系 人：张老师</w:t>
      </w:r>
    </w:p>
    <w:p w14:paraId="5ADC15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电</w:t>
      </w:r>
      <w:r>
        <w:rPr>
          <w:rFonts w:ascii="宋体" w:hAnsi="宋体" w:eastAsia="宋体" w:cs="Times New Roman"/>
          <w:sz w:val="24"/>
          <w:lang w:val="zh-CN"/>
        </w:rPr>
        <w:t xml:space="preserve"> 话：025-85780003 </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2" w:name="_Toc179553568"/>
      <w:r>
        <w:rPr>
          <w:rFonts w:hint="eastAsia" w:ascii="宋体" w:hAnsi="宋体" w:eastAsia="宋体" w:cs="宋体"/>
          <w:b/>
          <w:bCs/>
          <w:kern w:val="0"/>
          <w:sz w:val="36"/>
          <w:szCs w:val="36"/>
        </w:rPr>
        <w:t>第二章  投标人须知</w:t>
      </w:r>
      <w:bookmarkEnd w:id="2"/>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3"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金审学院楼宇校园光网增补扩建项目</w:t>
      </w:r>
    </w:p>
    <w:p w14:paraId="1195D613">
      <w:pPr>
        <w:spacing w:line="360" w:lineRule="auto"/>
        <w:ind w:firstLine="475" w:firstLineChars="198"/>
        <w:jc w:val="left"/>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金审学院楼宇校园光网增补扩建项目，详见磋商文件第四章项目需求。</w:t>
      </w:r>
    </w:p>
    <w:p w14:paraId="3C4246EF">
      <w:pPr>
        <w:spacing w:line="360" w:lineRule="auto"/>
        <w:ind w:firstLine="480" w:firstLineChars="200"/>
        <w:rPr>
          <w:rFonts w:hint="eastAsia" w:ascii="宋体" w:hAnsi="宋体" w:eastAsia="宋体" w:cs="Times New Roman"/>
          <w:sz w:val="24"/>
        </w:rPr>
      </w:pPr>
      <w:r>
        <w:rPr>
          <w:rFonts w:ascii="宋体" w:hAnsi="宋体" w:eastAsia="宋体" w:cs="Times New Roman"/>
          <w:bCs/>
          <w:sz w:val="24"/>
        </w:rPr>
        <w:t>3</w:t>
      </w:r>
      <w:r>
        <w:rPr>
          <w:rFonts w:hint="eastAsia" w:ascii="宋体" w:hAnsi="宋体" w:eastAsia="宋体" w:cs="Times New Roman"/>
          <w:bCs/>
          <w:sz w:val="24"/>
        </w:rPr>
        <w:t>、交货期：</w:t>
      </w:r>
      <w:r>
        <w:rPr>
          <w:rFonts w:hint="eastAsia" w:ascii="宋体" w:hAnsi="宋体" w:eastAsia="宋体" w:cs="Times New Roman"/>
          <w:sz w:val="24"/>
        </w:rPr>
        <w:t>按照采购人的项目进度，分批次施工，每一批次施工工期为20天。</w:t>
      </w:r>
    </w:p>
    <w:bookmarkEnd w:id="3"/>
    <w:p w14:paraId="55A802D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71F8688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自行报价，报价应是本磋商文件所确定的全部工作内容的价格体现。应包括完成此项工作所需的设备费、人工费、材料费、机械费、运输费、安装调试费、其他费、规费、税金、市场价格风险、政策风险等所需有全部有关事项的费用、磋商文件中约定由投标人承担的费用以及投标人认为需要的费用，以上所用费用含在投标总价中。投标人须认真阅读理解磋商文件，特别是有关责任权利规定，按照磋商文件的要求填报投标文件，结算时不得调整。</w:t>
      </w:r>
    </w:p>
    <w:p w14:paraId="61CE094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2、可参考的工程计价表和有关文件。</w:t>
      </w:r>
    </w:p>
    <w:p w14:paraId="38470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3、江苏省相关工程计价表。</w:t>
      </w:r>
    </w:p>
    <w:p w14:paraId="183398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4、检查过程中，承包人必须服从发包人的监督检查和质量管理，如因质量问题造成返工，其费用由承包人承担。</w:t>
      </w:r>
    </w:p>
    <w:p w14:paraId="0E7FC94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5、检查过程中，承包人与地方发生的任何矛盾均由承包人自行协商解决，招标人不负责也不参与此类协调工作。承包人应将此部分费用考虑在投标报价中，招标人不另行支付。</w:t>
      </w:r>
    </w:p>
    <w:p w14:paraId="575A175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6、如果以文字大写表示的数据与数字表示的数据有差别,应以文字大写为准,修正数字。</w:t>
      </w:r>
    </w:p>
    <w:p w14:paraId="363F31D0">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7、承包人要确保施工现场清洁，及时清理废弃物，产生的费用承包人需综合考虑进报价中。</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附件一、投标函</w:t>
      </w:r>
    </w:p>
    <w:p w14:paraId="543270F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附件二、分项报价表</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附件三、法定代表人授权委托书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附件四、拟投入项目人员汇总表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附件五、近三年类似项目业绩表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附件六、商务条款偏离表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附件七、技术条款偏离表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附件八、实施方案、技术方案、售后服务方案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附件九、无重大违法记录声明</w:t>
      </w:r>
    </w:p>
    <w:p w14:paraId="466883B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附件十、具备履行合同所必需的设备和专业技术能力的声明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附件十一、投标人认为需提供的其他资料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4" w:name="_Hlk85095957"/>
    </w:p>
    <w:bookmarkEnd w:id="4"/>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5" w:name="_Toc179553569"/>
      <w:r>
        <w:rPr>
          <w:rFonts w:hint="eastAsia" w:ascii="宋体" w:hAnsi="宋体" w:eastAsia="宋体" w:cs="宋体"/>
          <w:b/>
          <w:bCs/>
          <w:kern w:val="0"/>
          <w:sz w:val="36"/>
          <w:szCs w:val="21"/>
        </w:rPr>
        <w:t>第三章  评标方法及标准</w:t>
      </w:r>
      <w:bookmarkEnd w:id="5"/>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43DF443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0" w:type="auto"/>
        <w:jc w:val="center"/>
        <w:tblLayout w:type="fixed"/>
        <w:tblCellMar>
          <w:top w:w="0" w:type="dxa"/>
          <w:left w:w="10" w:type="dxa"/>
          <w:bottom w:w="0" w:type="dxa"/>
          <w:right w:w="10" w:type="dxa"/>
        </w:tblCellMar>
      </w:tblPr>
      <w:tblGrid>
        <w:gridCol w:w="1413"/>
        <w:gridCol w:w="1559"/>
        <w:gridCol w:w="5318"/>
      </w:tblGrid>
      <w:tr w14:paraId="25534BF4">
        <w:tblPrEx>
          <w:tblCellMar>
            <w:top w:w="0" w:type="dxa"/>
            <w:left w:w="10" w:type="dxa"/>
            <w:bottom w:w="0" w:type="dxa"/>
            <w:right w:w="10" w:type="dxa"/>
          </w:tblCellMar>
        </w:tblPrEx>
        <w:trPr>
          <w:trHeight w:val="392" w:hRule="atLeast"/>
          <w:jc w:val="center"/>
        </w:trPr>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79D00404">
            <w:pPr>
              <w:jc w:val="center"/>
              <w:rPr>
                <w:rFonts w:hint="eastAsia" w:ascii="宋体" w:hAnsi="宋体" w:eastAsia="宋体" w:cs="宋体"/>
                <w:sz w:val="24"/>
                <w:szCs w:val="24"/>
              </w:rPr>
            </w:pPr>
            <w:r>
              <w:rPr>
                <w:rFonts w:hint="eastAsia" w:ascii="宋体" w:hAnsi="宋体" w:eastAsia="宋体" w:cs="宋体"/>
                <w:b/>
                <w:sz w:val="24"/>
                <w:szCs w:val="24"/>
              </w:rPr>
              <w:t>项目</w:t>
            </w: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3C3701F8">
            <w:pPr>
              <w:jc w:val="center"/>
              <w:rPr>
                <w:rFonts w:hint="eastAsia" w:ascii="宋体" w:hAnsi="宋体" w:eastAsia="宋体" w:cs="宋体"/>
                <w:sz w:val="24"/>
                <w:szCs w:val="24"/>
              </w:rPr>
            </w:pPr>
            <w:r>
              <w:rPr>
                <w:rFonts w:hint="eastAsia" w:ascii="宋体" w:hAnsi="宋体" w:eastAsia="宋体" w:cs="宋体"/>
                <w:b/>
                <w:sz w:val="24"/>
                <w:szCs w:val="24"/>
              </w:rPr>
              <w:t>评分标准</w:t>
            </w:r>
          </w:p>
        </w:tc>
      </w:tr>
      <w:tr w14:paraId="4A0BBF8B">
        <w:tblPrEx>
          <w:tblCellMar>
            <w:top w:w="0" w:type="dxa"/>
            <w:left w:w="10" w:type="dxa"/>
            <w:bottom w:w="0" w:type="dxa"/>
            <w:right w:w="10" w:type="dxa"/>
          </w:tblCellMar>
        </w:tblPrEx>
        <w:trPr>
          <w:jc w:val="center"/>
        </w:trPr>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0795A6B6">
            <w:pPr>
              <w:jc w:val="center"/>
              <w:rPr>
                <w:rFonts w:hint="eastAsia" w:ascii="宋体" w:hAnsi="宋体" w:eastAsia="宋体"/>
                <w:sz w:val="24"/>
                <w:szCs w:val="24"/>
              </w:rPr>
            </w:pPr>
            <w:r>
              <w:rPr>
                <w:rFonts w:hint="eastAsia" w:ascii="宋体" w:hAnsi="宋体" w:eastAsia="宋体"/>
                <w:sz w:val="24"/>
                <w:szCs w:val="24"/>
              </w:rPr>
              <w:t>报价分</w:t>
            </w:r>
          </w:p>
          <w:p w14:paraId="13294A25">
            <w:pPr>
              <w:jc w:val="center"/>
              <w:rPr>
                <w:rFonts w:hint="eastAsia" w:ascii="宋体" w:hAnsi="宋体" w:eastAsia="宋体" w:cs="宋体"/>
                <w:b/>
                <w:sz w:val="24"/>
                <w:szCs w:val="24"/>
              </w:rPr>
            </w:pPr>
            <w:r>
              <w:rPr>
                <w:rFonts w:hint="eastAsia" w:ascii="宋体" w:hAnsi="宋体" w:eastAsia="宋体"/>
                <w:sz w:val="24"/>
                <w:szCs w:val="24"/>
              </w:rPr>
              <w:t>（5</w:t>
            </w:r>
            <w:r>
              <w:rPr>
                <w:rFonts w:ascii="宋体" w:hAnsi="宋体" w:eastAsia="宋体"/>
                <w:sz w:val="24"/>
                <w:szCs w:val="24"/>
              </w:rPr>
              <w:t>0</w:t>
            </w:r>
            <w:r>
              <w:rPr>
                <w:rFonts w:hint="eastAsia" w:ascii="宋体" w:hAnsi="宋体" w:eastAsia="宋体"/>
                <w:sz w:val="24"/>
                <w:szCs w:val="24"/>
              </w:rPr>
              <w:t>分）</w:t>
            </w: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320E1F7F">
            <w:pPr>
              <w:jc w:val="left"/>
              <w:rPr>
                <w:rFonts w:hint="eastAsia" w:ascii="宋体" w:hAnsi="宋体" w:eastAsia="宋体"/>
                <w:sz w:val="24"/>
                <w:szCs w:val="24"/>
              </w:rPr>
            </w:pPr>
            <w:r>
              <w:rPr>
                <w:rFonts w:hint="eastAsia" w:ascii="宋体" w:hAnsi="宋体" w:eastAsia="宋体"/>
                <w:sz w:val="24"/>
                <w:szCs w:val="24"/>
              </w:rPr>
              <w:t>以所有有效投标文件（有效投标文件是指初步评审合格的投标文件）的评标价（评标价是指经澄清、补正和修正算术计算错误的投标报价）的算术平均值为评标基准价。(小数点后保留两位)</w:t>
            </w:r>
          </w:p>
          <w:p w14:paraId="62DB0B80">
            <w:pPr>
              <w:jc w:val="left"/>
              <w:rPr>
                <w:rFonts w:hint="eastAsia" w:ascii="宋体" w:hAnsi="宋体" w:eastAsia="宋体"/>
                <w:sz w:val="24"/>
                <w:szCs w:val="24"/>
              </w:rPr>
            </w:pPr>
            <w:r>
              <w:rPr>
                <w:rFonts w:hint="eastAsia" w:ascii="宋体" w:hAnsi="宋体" w:eastAsia="宋体"/>
                <w:sz w:val="24"/>
                <w:szCs w:val="24"/>
              </w:rPr>
              <w:t>投标报价的偏差率计算公式：偏差率=100% ×|投标人报价 - 评标基准价|/评标基准价</w:t>
            </w:r>
          </w:p>
          <w:p w14:paraId="08550877">
            <w:pPr>
              <w:jc w:val="left"/>
              <w:rPr>
                <w:rFonts w:hint="eastAsia" w:ascii="宋体" w:hAnsi="宋体" w:eastAsia="宋体"/>
                <w:sz w:val="24"/>
                <w:szCs w:val="24"/>
              </w:rPr>
            </w:pPr>
            <w:r>
              <w:rPr>
                <w:rFonts w:hint="eastAsia" w:ascii="宋体" w:hAnsi="宋体" w:eastAsia="宋体"/>
                <w:sz w:val="24"/>
                <w:szCs w:val="24"/>
              </w:rPr>
              <w:t>偏离评标基准价的每增加1%扣0.5分，每降低1%扣0.3分，偏离不足1%的，按照插入法计算得分。</w:t>
            </w:r>
          </w:p>
          <w:p w14:paraId="41328456">
            <w:pPr>
              <w:jc w:val="left"/>
              <w:rPr>
                <w:rFonts w:hint="eastAsia" w:ascii="宋体" w:hAnsi="宋体" w:eastAsia="宋体" w:cs="宋体"/>
                <w:b/>
                <w:sz w:val="24"/>
                <w:szCs w:val="24"/>
              </w:rPr>
            </w:pPr>
            <w:r>
              <w:rPr>
                <w:rFonts w:hint="eastAsia" w:ascii="宋体" w:hAnsi="宋体" w:eastAsia="宋体"/>
                <w:sz w:val="24"/>
                <w:szCs w:val="24"/>
              </w:rPr>
              <w:t>备注：评标小组认为供应商的报价明显低于其他通过符合性审查投标人的报价，有可能影响项目质量或者不能诚信履约的，评标小组有权要求其在开标现场合理的时间内提供书面说明，必要时提交相关证明材料；投标人不能证明其报价合理性的，评标小组将其作为无效投标处理。</w:t>
            </w:r>
          </w:p>
        </w:tc>
      </w:tr>
      <w:tr w14:paraId="4941B2AD">
        <w:tblPrEx>
          <w:tblCellMar>
            <w:top w:w="0" w:type="dxa"/>
            <w:left w:w="10" w:type="dxa"/>
            <w:bottom w:w="0" w:type="dxa"/>
            <w:right w:w="10" w:type="dxa"/>
          </w:tblCellMar>
        </w:tblPrEx>
        <w:trPr>
          <w:trHeight w:val="1418" w:hRule="exact"/>
          <w:jc w:val="center"/>
        </w:trPr>
        <w:tc>
          <w:tcPr>
            <w:tcW w:w="1413" w:type="dxa"/>
            <w:tcBorders>
              <w:top w:val="single" w:color="000000" w:sz="4" w:space="0"/>
              <w:left w:val="single" w:color="000000" w:sz="4" w:space="0"/>
              <w:right w:val="single" w:color="000000" w:sz="4" w:space="0"/>
            </w:tcBorders>
            <w:shd w:val="clear" w:color="auto" w:fill="auto"/>
            <w:tcMar>
              <w:top w:w="0" w:type="dxa"/>
              <w:left w:w="14" w:type="dxa"/>
              <w:bottom w:w="0" w:type="dxa"/>
              <w:right w:w="14" w:type="dxa"/>
            </w:tcMar>
            <w:vAlign w:val="center"/>
          </w:tcPr>
          <w:p w14:paraId="3FC00B57">
            <w:pPr>
              <w:ind w:firstLine="420"/>
              <w:rPr>
                <w:rFonts w:hint="eastAsia" w:ascii="宋体" w:hAnsi="宋体" w:eastAsia="宋体"/>
                <w:sz w:val="24"/>
                <w:szCs w:val="24"/>
              </w:rPr>
            </w:pPr>
          </w:p>
          <w:p w14:paraId="457FEC43">
            <w:pPr>
              <w:ind w:firstLine="420"/>
              <w:rPr>
                <w:rFonts w:hint="eastAsia" w:ascii="宋体" w:hAnsi="宋体" w:eastAsia="宋体"/>
                <w:sz w:val="24"/>
                <w:szCs w:val="24"/>
              </w:rPr>
            </w:pPr>
          </w:p>
          <w:p w14:paraId="57979025">
            <w:pPr>
              <w:ind w:firstLine="420"/>
              <w:rPr>
                <w:rFonts w:hint="eastAsia" w:ascii="宋体" w:hAnsi="宋体" w:eastAsia="宋体"/>
                <w:sz w:val="24"/>
                <w:szCs w:val="24"/>
              </w:rPr>
            </w:pPr>
          </w:p>
          <w:p w14:paraId="6C81B20E">
            <w:pPr>
              <w:ind w:firstLine="420"/>
              <w:rPr>
                <w:rFonts w:hint="eastAsia" w:ascii="宋体" w:hAnsi="宋体" w:eastAsia="宋体"/>
                <w:sz w:val="24"/>
                <w:szCs w:val="24"/>
              </w:rPr>
            </w:pPr>
          </w:p>
          <w:p w14:paraId="4698C264">
            <w:pPr>
              <w:ind w:firstLine="420"/>
              <w:rPr>
                <w:rFonts w:hint="eastAsia" w:ascii="宋体" w:hAnsi="宋体" w:eastAsia="宋体"/>
                <w:sz w:val="24"/>
                <w:szCs w:val="24"/>
              </w:rPr>
            </w:pPr>
          </w:p>
          <w:p w14:paraId="6D66412E">
            <w:pPr>
              <w:ind w:firstLine="420"/>
              <w:rPr>
                <w:rFonts w:hint="eastAsia" w:ascii="宋体" w:hAnsi="宋体" w:eastAsia="宋体"/>
                <w:sz w:val="24"/>
                <w:szCs w:val="24"/>
              </w:rPr>
            </w:pPr>
          </w:p>
          <w:p w14:paraId="06DF6D29">
            <w:pPr>
              <w:ind w:firstLine="420"/>
              <w:rPr>
                <w:rFonts w:hint="eastAsia" w:ascii="宋体" w:hAnsi="宋体" w:eastAsia="宋体"/>
                <w:sz w:val="24"/>
                <w:szCs w:val="24"/>
              </w:rPr>
            </w:pPr>
          </w:p>
          <w:p w14:paraId="446B83A7">
            <w:pPr>
              <w:ind w:firstLine="420"/>
              <w:rPr>
                <w:rFonts w:hint="eastAsia" w:ascii="宋体" w:hAnsi="宋体" w:eastAsia="宋体"/>
                <w:sz w:val="24"/>
                <w:szCs w:val="24"/>
              </w:rPr>
            </w:pPr>
          </w:p>
          <w:p w14:paraId="6BA67BA0">
            <w:pPr>
              <w:ind w:firstLine="420"/>
              <w:rPr>
                <w:rFonts w:hint="eastAsia" w:ascii="宋体" w:hAnsi="宋体" w:eastAsia="宋体"/>
                <w:sz w:val="24"/>
                <w:szCs w:val="24"/>
              </w:rPr>
            </w:pPr>
          </w:p>
          <w:p w14:paraId="6CE1A0C8">
            <w:pPr>
              <w:ind w:firstLine="420"/>
              <w:rPr>
                <w:rFonts w:hint="eastAsia" w:ascii="宋体" w:hAnsi="宋体" w:eastAsia="宋体"/>
                <w:sz w:val="24"/>
                <w:szCs w:val="24"/>
              </w:rPr>
            </w:pPr>
          </w:p>
          <w:p w14:paraId="26E21C02">
            <w:pPr>
              <w:ind w:firstLine="420"/>
              <w:rPr>
                <w:rFonts w:hint="eastAsia" w:ascii="宋体" w:hAnsi="宋体" w:eastAsia="宋体"/>
                <w:sz w:val="24"/>
                <w:szCs w:val="24"/>
              </w:rPr>
            </w:pPr>
          </w:p>
          <w:p w14:paraId="4B593C3D">
            <w:pPr>
              <w:ind w:firstLine="420"/>
              <w:rPr>
                <w:rFonts w:hint="eastAsia" w:ascii="宋体" w:hAnsi="宋体" w:eastAsia="宋体"/>
                <w:sz w:val="24"/>
                <w:szCs w:val="24"/>
              </w:rPr>
            </w:pPr>
          </w:p>
          <w:p w14:paraId="3968BCE3">
            <w:pPr>
              <w:ind w:firstLine="420"/>
              <w:rPr>
                <w:rFonts w:hint="eastAsia" w:ascii="宋体" w:hAnsi="宋体" w:eastAsia="宋体"/>
                <w:sz w:val="24"/>
                <w:szCs w:val="24"/>
              </w:rPr>
            </w:pPr>
            <w:r>
              <w:rPr>
                <w:rFonts w:hint="eastAsia" w:ascii="宋体" w:hAnsi="宋体" w:eastAsia="宋体"/>
                <w:sz w:val="24"/>
                <w:szCs w:val="24"/>
              </w:rPr>
              <w:t>技术部分</w:t>
            </w:r>
          </w:p>
          <w:p w14:paraId="02232A4F">
            <w:pPr>
              <w:ind w:firstLine="42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46</w:t>
            </w:r>
            <w:r>
              <w:rPr>
                <w:rFonts w:hint="eastAsia" w:ascii="宋体" w:hAnsi="宋体" w:eastAsia="宋体"/>
                <w:sz w:val="24"/>
                <w:szCs w:val="24"/>
              </w:rPr>
              <w:t>分)</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1A1AC403">
            <w:pPr>
              <w:snapToGrid w:val="0"/>
              <w:jc w:val="center"/>
              <w:rPr>
                <w:rFonts w:hint="eastAsia" w:ascii="宋体" w:hAnsi="宋体" w:eastAsia="宋体" w:cs="宋体"/>
                <w:sz w:val="24"/>
                <w:szCs w:val="24"/>
              </w:rPr>
            </w:pPr>
            <w:r>
              <w:rPr>
                <w:rFonts w:hint="eastAsia" w:ascii="宋体" w:hAnsi="宋体" w:eastAsia="宋体" w:cs="宋体"/>
                <w:sz w:val="24"/>
                <w:szCs w:val="24"/>
              </w:rPr>
              <w:t>技术响应情况</w:t>
            </w:r>
          </w:p>
          <w:p w14:paraId="0FDE5A1F">
            <w:pPr>
              <w:snapToGrid w:val="0"/>
              <w:jc w:val="center"/>
              <w:rPr>
                <w:rFonts w:hint="eastAsia" w:ascii="宋体" w:hAnsi="宋体" w:eastAsia="宋体" w:cs="宋体"/>
                <w:sz w:val="24"/>
                <w:szCs w:val="24"/>
              </w:rPr>
            </w:pPr>
            <w:r>
              <w:rPr>
                <w:rFonts w:hint="eastAsia" w:ascii="宋体" w:hAnsi="宋体" w:eastAsia="宋体" w:cs="宋体"/>
                <w:sz w:val="24"/>
                <w:szCs w:val="24"/>
              </w:rPr>
              <w:t>（14分）</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60341620">
            <w:pPr>
              <w:snapToGrid w:val="0"/>
              <w:rPr>
                <w:rFonts w:hint="eastAsia" w:ascii="宋体" w:hAnsi="宋体" w:eastAsia="宋体" w:cs="宋体"/>
                <w:sz w:val="24"/>
                <w:szCs w:val="24"/>
              </w:rPr>
            </w:pPr>
            <w:r>
              <w:rPr>
                <w:rFonts w:hint="eastAsia" w:ascii="宋体" w:hAnsi="宋体" w:eastAsia="宋体" w:cs="宋体"/>
                <w:sz w:val="24"/>
                <w:szCs w:val="24"/>
              </w:rPr>
              <w:t>全部响应或优于招标文件技术参数要求的得</w:t>
            </w:r>
            <w:r>
              <w:rPr>
                <w:rFonts w:ascii="宋体" w:hAnsi="宋体" w:eastAsia="宋体" w:cs="宋体"/>
                <w:sz w:val="24"/>
                <w:szCs w:val="24"/>
              </w:rPr>
              <w:t>1</w:t>
            </w:r>
            <w:r>
              <w:rPr>
                <w:rFonts w:hint="eastAsia" w:ascii="宋体" w:hAnsi="宋体" w:eastAsia="宋体" w:cs="宋体"/>
                <w:sz w:val="24"/>
                <w:szCs w:val="24"/>
              </w:rPr>
              <w:t>0分；需按要求提供相关证明材料，有一项负偏离扣1分，每▲每一项负偏离扣2分，扣完为止。</w:t>
            </w:r>
          </w:p>
        </w:tc>
      </w:tr>
      <w:tr w14:paraId="06F8B560">
        <w:tblPrEx>
          <w:tblCellMar>
            <w:top w:w="0" w:type="dxa"/>
            <w:left w:w="10" w:type="dxa"/>
            <w:bottom w:w="0" w:type="dxa"/>
            <w:right w:w="10" w:type="dxa"/>
          </w:tblCellMar>
        </w:tblPrEx>
        <w:trPr>
          <w:jc w:val="center"/>
        </w:trPr>
        <w:tc>
          <w:tcPr>
            <w:tcW w:w="1413" w:type="dxa"/>
            <w:vMerge w:val="restart"/>
            <w:tcBorders>
              <w:left w:val="single" w:color="000000" w:sz="4" w:space="0"/>
              <w:right w:val="single" w:color="000000" w:sz="4" w:space="0"/>
            </w:tcBorders>
            <w:shd w:val="clear" w:color="auto" w:fill="auto"/>
            <w:vAlign w:val="center"/>
          </w:tcPr>
          <w:p w14:paraId="787063A5">
            <w:pPr>
              <w:jc w:val="center"/>
              <w:rPr>
                <w:rFonts w:hint="eastAsia" w:ascii="宋体" w:hAnsi="宋体" w:eastAsia="宋体" w:cs="宋体"/>
                <w:sz w:val="24"/>
                <w:szCs w:val="24"/>
              </w:rPr>
            </w:pPr>
            <w:r>
              <w:rPr>
                <w:rFonts w:hint="eastAsia" w:ascii="宋体" w:hAnsi="宋体" w:eastAsia="宋体" w:cs="宋体"/>
                <w:sz w:val="24"/>
                <w:szCs w:val="24"/>
              </w:rPr>
              <w:t>技术部分</w:t>
            </w:r>
          </w:p>
          <w:p w14:paraId="0AABB81E">
            <w:pPr>
              <w:jc w:val="center"/>
              <w:rPr>
                <w:rFonts w:hint="eastAsia" w:ascii="宋体" w:hAnsi="宋体" w:eastAsia="宋体" w:cs="宋体"/>
                <w:sz w:val="24"/>
                <w:szCs w:val="24"/>
              </w:rPr>
            </w:pPr>
            <w:r>
              <w:rPr>
                <w:rFonts w:hint="eastAsia" w:ascii="宋体" w:hAnsi="宋体" w:eastAsia="宋体" w:cs="宋体"/>
                <w:sz w:val="24"/>
                <w:szCs w:val="24"/>
              </w:rPr>
              <w:t>（35分）</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141FDC2B">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实施方案</w:t>
            </w:r>
          </w:p>
          <w:p w14:paraId="6B9A6BC1">
            <w:pPr>
              <w:snapToGrid w:val="0"/>
              <w:jc w:val="center"/>
              <w:rPr>
                <w:rFonts w:hint="eastAsia" w:ascii="宋体" w:hAnsi="宋体" w:eastAsia="宋体" w:cs="宋体"/>
                <w:sz w:val="24"/>
                <w:szCs w:val="24"/>
              </w:rPr>
            </w:pPr>
            <w:r>
              <w:rPr>
                <w:rFonts w:hint="eastAsia" w:ascii="宋体" w:hAnsi="宋体" w:eastAsia="宋体" w:cs="宋体"/>
                <w:kern w:val="0"/>
                <w:sz w:val="24"/>
                <w:szCs w:val="24"/>
              </w:rPr>
              <w:t>（7分）</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6AE5ACE5">
            <w:pPr>
              <w:autoSpaceDE w:val="0"/>
              <w:autoSpaceDN w:val="0"/>
              <w:snapToGrid w:val="0"/>
              <w:rPr>
                <w:rFonts w:hint="eastAsia" w:ascii="宋体" w:hAnsi="宋体" w:eastAsia="宋体"/>
                <w:sz w:val="24"/>
                <w:szCs w:val="24"/>
              </w:rPr>
            </w:pPr>
            <w:r>
              <w:rPr>
                <w:rFonts w:hint="eastAsia" w:ascii="宋体" w:hAnsi="宋体" w:eastAsia="宋体"/>
                <w:sz w:val="24"/>
                <w:szCs w:val="24"/>
              </w:rPr>
              <w:t>根据投标人提供的实施方案进行打分：</w:t>
            </w:r>
          </w:p>
          <w:p w14:paraId="0826B7AB">
            <w:pPr>
              <w:autoSpaceDE w:val="0"/>
              <w:autoSpaceDN w:val="0"/>
              <w:snapToGrid w:val="0"/>
              <w:rPr>
                <w:rFonts w:hint="eastAsia" w:ascii="宋体" w:hAnsi="宋体" w:eastAsia="宋体"/>
                <w:sz w:val="24"/>
                <w:szCs w:val="24"/>
              </w:rPr>
            </w:pPr>
            <w:r>
              <w:rPr>
                <w:rFonts w:hint="eastAsia" w:ascii="宋体" w:hAnsi="宋体" w:eastAsia="宋体"/>
                <w:sz w:val="24"/>
                <w:szCs w:val="24"/>
              </w:rPr>
              <w:t>安装进度安排、质量保证措施进行评分</w:t>
            </w:r>
            <w:r>
              <w:rPr>
                <w:rFonts w:ascii="宋体" w:hAnsi="宋体" w:eastAsia="宋体"/>
                <w:sz w:val="24"/>
                <w:szCs w:val="24"/>
              </w:rPr>
              <w:t>,方案完整详细、进度安排合</w:t>
            </w:r>
            <w:r>
              <w:rPr>
                <w:rFonts w:hint="eastAsia" w:ascii="宋体" w:hAnsi="宋体" w:eastAsia="宋体"/>
                <w:sz w:val="24"/>
                <w:szCs w:val="24"/>
              </w:rPr>
              <w:t>理有序的得7</w:t>
            </w:r>
            <w:r>
              <w:rPr>
                <w:rFonts w:ascii="宋体" w:hAnsi="宋体" w:eastAsia="宋体"/>
                <w:sz w:val="24"/>
                <w:szCs w:val="24"/>
              </w:rPr>
              <w:t>分</w:t>
            </w:r>
            <w:r>
              <w:rPr>
                <w:rFonts w:hint="eastAsia" w:ascii="宋体" w:hAnsi="宋体" w:eastAsia="宋体"/>
                <w:sz w:val="24"/>
                <w:szCs w:val="24"/>
              </w:rPr>
              <w:t>；</w:t>
            </w:r>
          </w:p>
          <w:p w14:paraId="5060D2F1">
            <w:pPr>
              <w:autoSpaceDE w:val="0"/>
              <w:autoSpaceDN w:val="0"/>
              <w:snapToGrid w:val="0"/>
              <w:rPr>
                <w:rFonts w:hint="eastAsia" w:ascii="宋体" w:hAnsi="宋体" w:eastAsia="宋体"/>
                <w:sz w:val="24"/>
                <w:szCs w:val="24"/>
              </w:rPr>
            </w:pPr>
            <w:r>
              <w:rPr>
                <w:rFonts w:ascii="宋体" w:hAnsi="宋体" w:eastAsia="宋体"/>
                <w:sz w:val="24"/>
                <w:szCs w:val="24"/>
              </w:rPr>
              <w:t>方案较完整详细、进度安排较合理有序得</w:t>
            </w:r>
            <w:r>
              <w:rPr>
                <w:rFonts w:hint="eastAsia" w:ascii="宋体" w:hAnsi="宋体" w:eastAsia="宋体"/>
                <w:sz w:val="24"/>
                <w:szCs w:val="24"/>
              </w:rPr>
              <w:t>5</w:t>
            </w:r>
            <w:r>
              <w:rPr>
                <w:rFonts w:ascii="宋体" w:hAnsi="宋体" w:eastAsia="宋体"/>
                <w:sz w:val="24"/>
                <w:szCs w:val="24"/>
              </w:rPr>
              <w:t>分</w:t>
            </w:r>
            <w:r>
              <w:rPr>
                <w:rFonts w:hint="eastAsia" w:ascii="宋体" w:hAnsi="宋体" w:eastAsia="宋体"/>
                <w:sz w:val="24"/>
                <w:szCs w:val="24"/>
              </w:rPr>
              <w:t>；</w:t>
            </w:r>
          </w:p>
          <w:p w14:paraId="2D894DC1">
            <w:pPr>
              <w:autoSpaceDE w:val="0"/>
              <w:autoSpaceDN w:val="0"/>
              <w:snapToGrid w:val="0"/>
              <w:rPr>
                <w:rFonts w:hint="eastAsia" w:ascii="宋体" w:hAnsi="宋体" w:eastAsia="宋体"/>
                <w:sz w:val="24"/>
                <w:szCs w:val="24"/>
              </w:rPr>
            </w:pPr>
            <w:r>
              <w:rPr>
                <w:rFonts w:hint="eastAsia" w:ascii="宋体" w:hAnsi="宋体" w:eastAsia="宋体"/>
                <w:sz w:val="24"/>
                <w:szCs w:val="24"/>
              </w:rPr>
              <w:t>方案不完整不详细</w:t>
            </w:r>
            <w:r>
              <w:rPr>
                <w:rFonts w:ascii="宋体" w:hAnsi="宋体" w:eastAsia="宋体"/>
                <w:sz w:val="24"/>
                <w:szCs w:val="24"/>
              </w:rPr>
              <w:t>,进度安排一般的得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w:t>
            </w:r>
          </w:p>
          <w:p w14:paraId="0A70083D">
            <w:pPr>
              <w:autoSpaceDE w:val="0"/>
              <w:autoSpaceDN w:val="0"/>
              <w:snapToGrid w:val="0"/>
              <w:rPr>
                <w:rFonts w:hint="eastAsia" w:ascii="宋体" w:hAnsi="宋体" w:eastAsia="宋体"/>
                <w:sz w:val="24"/>
                <w:szCs w:val="24"/>
              </w:rPr>
            </w:pPr>
            <w:r>
              <w:rPr>
                <w:rFonts w:hint="eastAsia" w:ascii="宋体" w:hAnsi="宋体" w:eastAsia="宋体"/>
                <w:sz w:val="24"/>
                <w:szCs w:val="24"/>
              </w:rPr>
              <w:t>未提供不得分。</w:t>
            </w:r>
          </w:p>
        </w:tc>
      </w:tr>
      <w:tr w14:paraId="57FD4248">
        <w:tblPrEx>
          <w:tblCellMar>
            <w:top w:w="0" w:type="dxa"/>
            <w:left w:w="10" w:type="dxa"/>
            <w:bottom w:w="0" w:type="dxa"/>
            <w:right w:w="10" w:type="dxa"/>
          </w:tblCellMar>
        </w:tblPrEx>
        <w:trPr>
          <w:jc w:val="center"/>
        </w:trPr>
        <w:tc>
          <w:tcPr>
            <w:tcW w:w="1413" w:type="dxa"/>
            <w:vMerge w:val="continue"/>
            <w:tcBorders>
              <w:left w:val="single" w:color="000000" w:sz="4" w:space="0"/>
              <w:right w:val="single" w:color="000000" w:sz="4" w:space="0"/>
            </w:tcBorders>
            <w:shd w:val="clear" w:color="auto" w:fill="auto"/>
            <w:vAlign w:val="center"/>
          </w:tcPr>
          <w:p w14:paraId="0E52D39C">
            <w:pPr>
              <w:jc w:val="center"/>
              <w:rPr>
                <w:rFonts w:hint="eastAsia" w:ascii="宋体" w:hAnsi="宋体" w:eastAsia="宋体" w:cs="宋体"/>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1A8CAFD6">
            <w:pPr>
              <w:snapToGrid w:val="0"/>
              <w:jc w:val="center"/>
              <w:rPr>
                <w:rFonts w:hint="eastAsia" w:ascii="宋体" w:hAnsi="宋体" w:eastAsia="宋体" w:cs="宋体"/>
                <w:sz w:val="24"/>
                <w:szCs w:val="24"/>
              </w:rPr>
            </w:pPr>
            <w:r>
              <w:rPr>
                <w:rFonts w:hint="eastAsia" w:ascii="宋体" w:hAnsi="宋体" w:eastAsia="宋体" w:cs="宋体"/>
                <w:sz w:val="24"/>
                <w:szCs w:val="24"/>
              </w:rPr>
              <w:t>技术方案</w:t>
            </w:r>
          </w:p>
          <w:p w14:paraId="22426602">
            <w:pPr>
              <w:snapToGrid w:val="0"/>
              <w:jc w:val="center"/>
              <w:rPr>
                <w:rFonts w:hint="eastAsia" w:ascii="宋体" w:hAnsi="宋体" w:eastAsia="宋体" w:cs="宋体"/>
                <w:sz w:val="24"/>
                <w:szCs w:val="24"/>
              </w:rPr>
            </w:pPr>
            <w:r>
              <w:rPr>
                <w:rFonts w:hint="eastAsia" w:ascii="宋体" w:hAnsi="宋体" w:eastAsia="宋体" w:cs="宋体"/>
                <w:sz w:val="24"/>
                <w:szCs w:val="24"/>
              </w:rPr>
              <w:t>（7分）</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4" w:type="dxa"/>
              <w:bottom w:w="0" w:type="dxa"/>
              <w:right w:w="14" w:type="dxa"/>
            </w:tcMar>
            <w:vAlign w:val="center"/>
          </w:tcPr>
          <w:p w14:paraId="68501638">
            <w:pPr>
              <w:autoSpaceDE w:val="0"/>
              <w:autoSpaceDN w:val="0"/>
              <w:snapToGrid w:val="0"/>
              <w:rPr>
                <w:rFonts w:hint="eastAsia" w:ascii="宋体" w:hAnsi="宋体" w:eastAsia="宋体"/>
                <w:sz w:val="24"/>
                <w:szCs w:val="24"/>
              </w:rPr>
            </w:pPr>
            <w:r>
              <w:rPr>
                <w:rFonts w:ascii="宋体" w:hAnsi="宋体" w:eastAsia="宋体"/>
                <w:sz w:val="24"/>
                <w:szCs w:val="24"/>
              </w:rPr>
              <w:t>根据投标人提供的技术方案评分：</w:t>
            </w:r>
          </w:p>
          <w:p w14:paraId="637144B9">
            <w:pPr>
              <w:autoSpaceDE w:val="0"/>
              <w:autoSpaceDN w:val="0"/>
              <w:snapToGrid w:val="0"/>
              <w:rPr>
                <w:rFonts w:hint="eastAsia" w:ascii="宋体" w:hAnsi="宋体" w:eastAsia="宋体"/>
                <w:sz w:val="24"/>
                <w:szCs w:val="24"/>
              </w:rPr>
            </w:pPr>
            <w:r>
              <w:rPr>
                <w:rFonts w:hint="eastAsia" w:ascii="宋体" w:hAnsi="宋体" w:eastAsia="宋体"/>
                <w:sz w:val="24"/>
                <w:szCs w:val="24"/>
              </w:rPr>
              <w:t>技术方案全面合理，扩展性、实用性、规范性、可行性、可靠性较强的得7</w:t>
            </w:r>
            <w:r>
              <w:rPr>
                <w:rFonts w:ascii="宋体" w:hAnsi="宋体" w:eastAsia="宋体"/>
                <w:sz w:val="24"/>
                <w:szCs w:val="24"/>
              </w:rPr>
              <w:t>分；</w:t>
            </w:r>
          </w:p>
          <w:p w14:paraId="0B665A02">
            <w:pPr>
              <w:autoSpaceDE w:val="0"/>
              <w:autoSpaceDN w:val="0"/>
              <w:snapToGrid w:val="0"/>
              <w:rPr>
                <w:rFonts w:hint="eastAsia" w:ascii="宋体" w:hAnsi="宋体" w:eastAsia="宋体"/>
                <w:sz w:val="24"/>
                <w:szCs w:val="24"/>
              </w:rPr>
            </w:pPr>
            <w:r>
              <w:rPr>
                <w:rFonts w:ascii="宋体" w:hAnsi="宋体" w:eastAsia="宋体"/>
                <w:sz w:val="24"/>
                <w:szCs w:val="24"/>
              </w:rPr>
              <w:t>技术方案较为全面合理，扩展性、实用性、规范性、</w:t>
            </w:r>
            <w:r>
              <w:rPr>
                <w:rFonts w:hint="eastAsia" w:ascii="宋体" w:hAnsi="宋体" w:eastAsia="宋体"/>
                <w:sz w:val="24"/>
                <w:szCs w:val="24"/>
              </w:rPr>
              <w:t>可行性、可靠性尚可的得5</w:t>
            </w:r>
            <w:r>
              <w:rPr>
                <w:rFonts w:ascii="宋体" w:hAnsi="宋体" w:eastAsia="宋体"/>
                <w:sz w:val="24"/>
                <w:szCs w:val="24"/>
              </w:rPr>
              <w:t>分</w:t>
            </w:r>
            <w:r>
              <w:rPr>
                <w:rFonts w:hint="eastAsia" w:ascii="宋体" w:hAnsi="宋体" w:eastAsia="宋体"/>
                <w:sz w:val="24"/>
                <w:szCs w:val="24"/>
              </w:rPr>
              <w:t>；</w:t>
            </w:r>
          </w:p>
          <w:p w14:paraId="7097A84F">
            <w:pPr>
              <w:autoSpaceDE w:val="0"/>
              <w:autoSpaceDN w:val="0"/>
              <w:snapToGrid w:val="0"/>
              <w:rPr>
                <w:rFonts w:hint="eastAsia" w:ascii="宋体" w:hAnsi="宋体" w:eastAsia="宋体"/>
                <w:sz w:val="24"/>
                <w:szCs w:val="24"/>
              </w:rPr>
            </w:pPr>
            <w:r>
              <w:rPr>
                <w:rFonts w:ascii="宋体" w:hAnsi="宋体" w:eastAsia="宋体"/>
                <w:sz w:val="24"/>
                <w:szCs w:val="24"/>
              </w:rPr>
              <w:t>技术方案一般，扩展性、实用性、</w:t>
            </w:r>
            <w:r>
              <w:rPr>
                <w:rFonts w:hint="eastAsia" w:ascii="宋体" w:hAnsi="宋体" w:eastAsia="宋体"/>
                <w:sz w:val="24"/>
                <w:szCs w:val="24"/>
              </w:rPr>
              <w:t>规范性、可行性可靠性差的得3</w:t>
            </w:r>
            <w:r>
              <w:rPr>
                <w:rFonts w:ascii="宋体" w:hAnsi="宋体" w:eastAsia="宋体"/>
                <w:sz w:val="24"/>
                <w:szCs w:val="24"/>
              </w:rPr>
              <w:t>分</w:t>
            </w:r>
            <w:r>
              <w:rPr>
                <w:rFonts w:hint="eastAsia" w:ascii="宋体" w:hAnsi="宋体" w:eastAsia="宋体"/>
                <w:sz w:val="24"/>
                <w:szCs w:val="24"/>
              </w:rPr>
              <w:t>；</w:t>
            </w:r>
          </w:p>
          <w:p w14:paraId="0520D7A3">
            <w:pPr>
              <w:autoSpaceDE w:val="0"/>
              <w:autoSpaceDN w:val="0"/>
              <w:snapToGrid w:val="0"/>
              <w:rPr>
                <w:rFonts w:hint="eastAsia" w:ascii="宋体" w:hAnsi="宋体" w:eastAsia="宋体"/>
                <w:sz w:val="24"/>
                <w:szCs w:val="24"/>
              </w:rPr>
            </w:pPr>
            <w:r>
              <w:rPr>
                <w:rFonts w:hint="eastAsia" w:ascii="宋体" w:hAnsi="宋体" w:eastAsia="宋体"/>
                <w:sz w:val="24"/>
                <w:szCs w:val="24"/>
              </w:rPr>
              <w:t>未提供或不符合本次现场情况不得分。</w:t>
            </w:r>
          </w:p>
        </w:tc>
      </w:tr>
      <w:tr w14:paraId="121EDBF1">
        <w:tblPrEx>
          <w:tblCellMar>
            <w:top w:w="0" w:type="dxa"/>
            <w:left w:w="10" w:type="dxa"/>
            <w:bottom w:w="0" w:type="dxa"/>
            <w:right w:w="10" w:type="dxa"/>
          </w:tblCellMar>
        </w:tblPrEx>
        <w:trPr>
          <w:jc w:val="center"/>
        </w:trPr>
        <w:tc>
          <w:tcPr>
            <w:tcW w:w="1413" w:type="dxa"/>
            <w:vMerge w:val="continue"/>
            <w:tcBorders>
              <w:left w:val="single" w:color="000000" w:sz="4" w:space="0"/>
              <w:bottom w:val="nil"/>
              <w:right w:val="single" w:color="000000" w:sz="4" w:space="0"/>
            </w:tcBorders>
            <w:shd w:val="clear" w:color="auto" w:fill="auto"/>
            <w:vAlign w:val="center"/>
          </w:tcPr>
          <w:p w14:paraId="29E4BB98">
            <w:pPr>
              <w:ind w:firstLine="420"/>
              <w:jc w:val="center"/>
              <w:rPr>
                <w:rFonts w:hint="eastAsia" w:ascii="宋体" w:hAnsi="宋体" w:eastAsia="宋体" w:cs="宋体"/>
                <w:kern w:val="0"/>
                <w:sz w:val="24"/>
                <w:szCs w:val="24"/>
              </w:rPr>
            </w:pPr>
          </w:p>
        </w:tc>
        <w:tc>
          <w:tcPr>
            <w:tcW w:w="1559" w:type="dxa"/>
            <w:tcBorders>
              <w:top w:val="single" w:color="000000" w:sz="4" w:space="0"/>
              <w:left w:val="single" w:color="000000" w:sz="4" w:space="0"/>
              <w:bottom w:val="nil"/>
              <w:right w:val="single" w:color="000000" w:sz="4" w:space="0"/>
            </w:tcBorders>
            <w:shd w:val="clear" w:color="auto" w:fill="FFFFFF"/>
            <w:tcMar>
              <w:top w:w="0" w:type="dxa"/>
              <w:left w:w="14" w:type="dxa"/>
              <w:bottom w:w="0" w:type="dxa"/>
              <w:right w:w="14" w:type="dxa"/>
            </w:tcMar>
            <w:vAlign w:val="center"/>
          </w:tcPr>
          <w:p w14:paraId="05E03FE8">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售后服务承诺（7分）</w:t>
            </w:r>
          </w:p>
        </w:tc>
        <w:tc>
          <w:tcPr>
            <w:tcW w:w="5318" w:type="dxa"/>
            <w:tcBorders>
              <w:top w:val="single" w:color="000000" w:sz="4" w:space="0"/>
              <w:left w:val="single" w:color="000000" w:sz="4" w:space="0"/>
              <w:bottom w:val="nil"/>
              <w:right w:val="single" w:color="000000" w:sz="4" w:space="0"/>
            </w:tcBorders>
            <w:shd w:val="clear" w:color="auto" w:fill="FFFFFF"/>
            <w:tcMar>
              <w:top w:w="0" w:type="dxa"/>
              <w:left w:w="14" w:type="dxa"/>
              <w:bottom w:w="0" w:type="dxa"/>
              <w:right w:w="14" w:type="dxa"/>
            </w:tcMar>
            <w:vAlign w:val="center"/>
          </w:tcPr>
          <w:p w14:paraId="7E22A4F2">
            <w:pPr>
              <w:autoSpaceDE w:val="0"/>
              <w:autoSpaceDN w:val="0"/>
              <w:snapToGrid w:val="0"/>
              <w:rPr>
                <w:rFonts w:hint="eastAsia" w:ascii="宋体" w:hAnsi="宋体" w:eastAsia="宋体" w:cs="宋体"/>
                <w:kern w:val="0"/>
                <w:sz w:val="24"/>
                <w:szCs w:val="24"/>
              </w:rPr>
            </w:pPr>
            <w:r>
              <w:rPr>
                <w:rFonts w:hint="eastAsia" w:ascii="宋体" w:hAnsi="宋体" w:eastAsia="宋体" w:cs="宋体"/>
                <w:kern w:val="0"/>
                <w:sz w:val="24"/>
                <w:szCs w:val="24"/>
              </w:rPr>
              <w:t>根据投标人提供的售后保障服务计划、售后服务效率、故障解决方案等方面综合评分：售后服务方案完善全面、科学规范、有可操作性的，得7分；售后服务方案较为完善全面、科学规范、可操作性较强的，得5分；售后服务方案内容均有涉及但有较大漏洞的，得3分；没有相关内容的，得0分。</w:t>
            </w:r>
          </w:p>
        </w:tc>
      </w:tr>
      <w:tr w14:paraId="0FDA596B">
        <w:tblPrEx>
          <w:tblCellMar>
            <w:top w:w="0" w:type="dxa"/>
            <w:left w:w="10" w:type="dxa"/>
            <w:bottom w:w="0" w:type="dxa"/>
            <w:right w:w="10" w:type="dxa"/>
          </w:tblCellMar>
        </w:tblPrEx>
        <w:trPr>
          <w:trHeight w:val="1255" w:hRule="atLeast"/>
          <w:jc w:val="center"/>
        </w:trPr>
        <w:tc>
          <w:tcPr>
            <w:tcW w:w="1413" w:type="dxa"/>
            <w:vMerge w:val="restart"/>
            <w:tcBorders>
              <w:top w:val="single" w:color="auto" w:sz="4" w:space="0"/>
              <w:left w:val="single" w:color="000000" w:sz="4" w:space="0"/>
              <w:bottom w:val="nil"/>
              <w:right w:val="single" w:color="000000" w:sz="4" w:space="0"/>
            </w:tcBorders>
            <w:shd w:val="clear" w:color="auto" w:fill="auto"/>
            <w:vAlign w:val="center"/>
          </w:tcPr>
          <w:p w14:paraId="6C70873C">
            <w:pPr>
              <w:jc w:val="center"/>
              <w:rPr>
                <w:rFonts w:hint="eastAsia" w:ascii="宋体" w:hAnsi="宋体" w:eastAsia="宋体" w:cs="宋体"/>
                <w:sz w:val="24"/>
                <w:szCs w:val="24"/>
              </w:rPr>
            </w:pPr>
            <w:r>
              <w:rPr>
                <w:rFonts w:hint="eastAsia" w:ascii="宋体" w:hAnsi="宋体" w:eastAsia="宋体" w:cs="宋体"/>
                <w:sz w:val="24"/>
                <w:szCs w:val="24"/>
              </w:rPr>
              <w:t>商务部分</w:t>
            </w:r>
          </w:p>
          <w:p w14:paraId="44E86220">
            <w:pPr>
              <w:jc w:val="center"/>
              <w:rPr>
                <w:rFonts w:hint="eastAsia" w:ascii="宋体" w:hAnsi="宋体" w:eastAsia="宋体" w:cs="宋体"/>
                <w:kern w:val="0"/>
                <w:sz w:val="24"/>
                <w:szCs w:val="24"/>
              </w:rPr>
            </w:pPr>
            <w:r>
              <w:rPr>
                <w:rFonts w:hint="eastAsia" w:ascii="宋体" w:hAnsi="宋体" w:eastAsia="宋体" w:cs="宋体"/>
                <w:sz w:val="24"/>
                <w:szCs w:val="24"/>
              </w:rPr>
              <w:t>（15分）</w:t>
            </w:r>
          </w:p>
        </w:tc>
        <w:tc>
          <w:tcPr>
            <w:tcW w:w="1559" w:type="dxa"/>
            <w:tcBorders>
              <w:top w:val="single" w:color="000000" w:sz="4" w:space="0"/>
              <w:left w:val="single" w:color="000000" w:sz="4" w:space="0"/>
              <w:bottom w:val="single" w:color="auto" w:sz="4" w:space="0"/>
              <w:right w:val="single" w:color="000000" w:sz="4" w:space="0"/>
            </w:tcBorders>
            <w:shd w:val="clear" w:color="auto" w:fill="FFFFFF"/>
            <w:tcMar>
              <w:top w:w="0" w:type="dxa"/>
              <w:left w:w="14" w:type="dxa"/>
              <w:bottom w:w="0" w:type="dxa"/>
              <w:right w:w="14" w:type="dxa"/>
            </w:tcMar>
            <w:vAlign w:val="center"/>
          </w:tcPr>
          <w:p w14:paraId="22093A99">
            <w:pPr>
              <w:jc w:val="center"/>
              <w:rPr>
                <w:rFonts w:hint="eastAsia" w:ascii="宋体" w:hAnsi="宋体" w:eastAsia="宋体" w:cs="宋体"/>
                <w:kern w:val="0"/>
                <w:sz w:val="24"/>
                <w:szCs w:val="24"/>
              </w:rPr>
            </w:pPr>
            <w:r>
              <w:rPr>
                <w:rFonts w:hint="eastAsia" w:ascii="宋体" w:hAnsi="宋体" w:eastAsia="宋体" w:cs="宋体"/>
                <w:kern w:val="0"/>
                <w:sz w:val="24"/>
                <w:szCs w:val="24"/>
              </w:rPr>
              <w:t>投标人实力（3分）</w:t>
            </w:r>
          </w:p>
        </w:tc>
        <w:tc>
          <w:tcPr>
            <w:tcW w:w="5318" w:type="dxa"/>
            <w:tcBorders>
              <w:top w:val="single" w:color="000000" w:sz="4" w:space="0"/>
              <w:left w:val="single" w:color="000000" w:sz="4" w:space="0"/>
              <w:bottom w:val="single" w:color="auto" w:sz="4" w:space="0"/>
              <w:right w:val="single" w:color="000000" w:sz="4" w:space="0"/>
            </w:tcBorders>
            <w:shd w:val="clear" w:color="auto" w:fill="FFFFFF"/>
            <w:tcMar>
              <w:top w:w="0" w:type="dxa"/>
              <w:left w:w="14" w:type="dxa"/>
              <w:bottom w:w="0" w:type="dxa"/>
              <w:right w:w="14" w:type="dxa"/>
            </w:tcMar>
            <w:vAlign w:val="center"/>
          </w:tcPr>
          <w:p w14:paraId="5719B24F">
            <w:pPr>
              <w:rPr>
                <w:rFonts w:hint="eastAsia" w:ascii="宋体" w:hAnsi="宋体" w:eastAsia="宋体" w:cs="宋体"/>
                <w:kern w:val="0"/>
                <w:sz w:val="24"/>
                <w:szCs w:val="24"/>
              </w:rPr>
            </w:pPr>
            <w:r>
              <w:rPr>
                <w:rFonts w:hint="eastAsia" w:ascii="宋体" w:hAnsi="宋体" w:eastAsia="宋体" w:cs="宋体"/>
                <w:kern w:val="0"/>
                <w:sz w:val="24"/>
                <w:szCs w:val="24"/>
              </w:rPr>
              <w:t>投标人具有：信息技术服务管理体系认证证书、信息技术服务运行维护（ITSS）三级及以上、信息安全服务资质证书，每提供一个得1分，本项最高得3分。（提供证书复印件，并加盖公章。）</w:t>
            </w:r>
          </w:p>
        </w:tc>
      </w:tr>
      <w:tr w14:paraId="2B57B53E">
        <w:tblPrEx>
          <w:tblCellMar>
            <w:top w:w="0" w:type="dxa"/>
            <w:left w:w="10" w:type="dxa"/>
            <w:bottom w:w="0" w:type="dxa"/>
            <w:right w:w="10" w:type="dxa"/>
          </w:tblCellMar>
        </w:tblPrEx>
        <w:trPr>
          <w:trHeight w:val="4679" w:hRule="atLeast"/>
          <w:jc w:val="center"/>
        </w:trPr>
        <w:tc>
          <w:tcPr>
            <w:tcW w:w="1413" w:type="dxa"/>
            <w:vMerge w:val="continue"/>
            <w:tcBorders>
              <w:left w:val="single" w:color="000000" w:sz="4" w:space="0"/>
              <w:right w:val="single" w:color="000000" w:sz="4" w:space="0"/>
            </w:tcBorders>
            <w:shd w:val="clear" w:color="auto" w:fill="auto"/>
            <w:vAlign w:val="center"/>
          </w:tcPr>
          <w:p w14:paraId="6D30BD67">
            <w:pPr>
              <w:jc w:val="center"/>
              <w:rPr>
                <w:rFonts w:hint="eastAsia" w:ascii="宋体" w:hAnsi="宋体" w:eastAsia="宋体" w:cs="宋体"/>
                <w:sz w:val="24"/>
                <w:szCs w:val="24"/>
              </w:rPr>
            </w:pPr>
          </w:p>
        </w:tc>
        <w:tc>
          <w:tcPr>
            <w:tcW w:w="1559" w:type="dxa"/>
            <w:tcBorders>
              <w:top w:val="single" w:color="auto" w:sz="4" w:space="0"/>
              <w:left w:val="single" w:color="000000" w:sz="4" w:space="0"/>
              <w:bottom w:val="single" w:color="auto" w:sz="4" w:space="0"/>
              <w:right w:val="single" w:color="auto" w:sz="4" w:space="0"/>
            </w:tcBorders>
            <w:shd w:val="clear" w:color="auto" w:fill="FFFFFF"/>
            <w:tcMar>
              <w:top w:w="0" w:type="dxa"/>
              <w:left w:w="14" w:type="dxa"/>
              <w:bottom w:w="0" w:type="dxa"/>
              <w:right w:w="14" w:type="dxa"/>
            </w:tcMar>
            <w:vAlign w:val="center"/>
          </w:tcPr>
          <w:p w14:paraId="01DF0EE2">
            <w:pPr>
              <w:jc w:val="center"/>
              <w:rPr>
                <w:rFonts w:hint="eastAsia" w:ascii="宋体" w:hAnsi="宋体" w:eastAsia="宋体" w:cs="宋体"/>
                <w:sz w:val="24"/>
                <w:szCs w:val="24"/>
              </w:rPr>
            </w:pPr>
            <w:r>
              <w:rPr>
                <w:rFonts w:hint="eastAsia" w:ascii="宋体" w:hAnsi="宋体" w:eastAsia="宋体" w:cs="宋体"/>
                <w:sz w:val="24"/>
                <w:szCs w:val="24"/>
              </w:rPr>
              <w:t>项目团队人员（4分）</w:t>
            </w:r>
          </w:p>
        </w:tc>
        <w:tc>
          <w:tcPr>
            <w:tcW w:w="5318" w:type="dxa"/>
            <w:tcBorders>
              <w:top w:val="single" w:color="auto" w:sz="4" w:space="0"/>
              <w:left w:val="single" w:color="auto" w:sz="4" w:space="0"/>
              <w:bottom w:val="single" w:color="auto" w:sz="4" w:space="0"/>
              <w:right w:val="single" w:color="auto" w:sz="4" w:space="0"/>
            </w:tcBorders>
            <w:shd w:val="clear" w:color="auto" w:fill="FFFFFF"/>
            <w:tcMar>
              <w:top w:w="0" w:type="dxa"/>
              <w:left w:w="14" w:type="dxa"/>
              <w:bottom w:w="0" w:type="dxa"/>
              <w:right w:w="14" w:type="dxa"/>
            </w:tcMar>
            <w:vAlign w:val="center"/>
          </w:tcPr>
          <w:p w14:paraId="4DFFC0C4">
            <w:pPr>
              <w:rPr>
                <w:rFonts w:hint="eastAsia" w:ascii="宋体" w:hAnsi="宋体" w:eastAsia="宋体"/>
                <w:sz w:val="24"/>
                <w:szCs w:val="24"/>
              </w:rPr>
            </w:pPr>
            <w:r>
              <w:rPr>
                <w:rFonts w:hint="eastAsia" w:ascii="宋体" w:hAnsi="宋体" w:eastAsia="宋体"/>
                <w:sz w:val="24"/>
                <w:szCs w:val="24"/>
              </w:rPr>
              <w:t>根据投标人对本项目所安排的人员技术力量进行打分：</w:t>
            </w:r>
          </w:p>
          <w:p w14:paraId="67930D6C">
            <w:pPr>
              <w:rPr>
                <w:rFonts w:hint="eastAsia" w:ascii="宋体" w:hAnsi="宋体" w:eastAsia="宋体"/>
                <w:sz w:val="24"/>
                <w:szCs w:val="24"/>
              </w:rPr>
            </w:pPr>
            <w:r>
              <w:rPr>
                <w:rFonts w:hint="eastAsia" w:ascii="宋体" w:hAnsi="宋体" w:eastAsia="宋体"/>
                <w:sz w:val="24"/>
                <w:szCs w:val="24"/>
              </w:rPr>
              <w:t>（1）投标人对于本项目拟配备的调试技术人员中具有类似本次项目光网技术实施经验的，有一个项目经验得1分，满分2分。（需提供工程师2024年4月-2024年9月单位为其缴纳社保的证明，不提供不得分。）</w:t>
            </w:r>
          </w:p>
          <w:p w14:paraId="0F76C97F">
            <w:pPr>
              <w:rPr>
                <w:rFonts w:hint="eastAsia" w:ascii="宋体" w:hAnsi="宋体" w:eastAsia="宋体"/>
                <w:sz w:val="24"/>
                <w:szCs w:val="24"/>
              </w:rPr>
            </w:pPr>
            <w:r>
              <w:rPr>
                <w:rFonts w:hint="eastAsia" w:ascii="宋体" w:hAnsi="宋体" w:eastAsia="宋体"/>
                <w:sz w:val="24"/>
                <w:szCs w:val="24"/>
              </w:rPr>
              <w:t>（2）投标人对于本项目拟配备的调试技术人员中具有类似本次项目无线网络技术实施经验的，有一个项目经验得1分，满分2分。（提供工程师2024年4月-2024年9月单位为其缴纳社保的证明，不提供不得分。）</w:t>
            </w:r>
          </w:p>
          <w:p w14:paraId="7D0E5ECC">
            <w:pPr>
              <w:rPr>
                <w:rFonts w:hint="eastAsia" w:ascii="宋体" w:hAnsi="宋体" w:eastAsia="宋体"/>
                <w:color w:val="000000"/>
                <w:sz w:val="24"/>
                <w:szCs w:val="24"/>
              </w:rPr>
            </w:pPr>
            <w:r>
              <w:rPr>
                <w:rFonts w:hint="eastAsia" w:ascii="宋体" w:hAnsi="宋体" w:eastAsia="宋体"/>
                <w:sz w:val="24"/>
                <w:szCs w:val="24"/>
              </w:rPr>
              <w:t>备注：提供人员列表原件及相关证明材料加盖公章，格式详见附件。</w:t>
            </w:r>
          </w:p>
        </w:tc>
      </w:tr>
      <w:tr w14:paraId="151104A3">
        <w:tblPrEx>
          <w:tblCellMar>
            <w:top w:w="0" w:type="dxa"/>
            <w:left w:w="10" w:type="dxa"/>
            <w:bottom w:w="0" w:type="dxa"/>
            <w:right w:w="10" w:type="dxa"/>
          </w:tblCellMar>
        </w:tblPrEx>
        <w:trPr>
          <w:trHeight w:val="1255" w:hRule="atLeast"/>
          <w:jc w:val="center"/>
        </w:trPr>
        <w:tc>
          <w:tcPr>
            <w:tcW w:w="1413" w:type="dxa"/>
            <w:vMerge w:val="continue"/>
            <w:tcBorders>
              <w:left w:val="single" w:color="000000" w:sz="4" w:space="0"/>
              <w:bottom w:val="single" w:color="auto" w:sz="4" w:space="0"/>
              <w:right w:val="single" w:color="000000" w:sz="4" w:space="0"/>
            </w:tcBorders>
            <w:shd w:val="clear" w:color="auto" w:fill="auto"/>
            <w:vAlign w:val="center"/>
          </w:tcPr>
          <w:p w14:paraId="742D4EA3">
            <w:pPr>
              <w:jc w:val="center"/>
              <w:rPr>
                <w:rFonts w:hint="eastAsia" w:ascii="宋体" w:hAnsi="宋体" w:eastAsia="宋体" w:cs="宋体"/>
                <w:sz w:val="24"/>
                <w:szCs w:val="24"/>
              </w:rPr>
            </w:pPr>
          </w:p>
        </w:tc>
        <w:tc>
          <w:tcPr>
            <w:tcW w:w="1559" w:type="dxa"/>
            <w:tcBorders>
              <w:top w:val="single" w:color="auto" w:sz="4" w:space="0"/>
              <w:left w:val="single" w:color="000000" w:sz="4" w:space="0"/>
              <w:bottom w:val="single" w:color="auto" w:sz="4" w:space="0"/>
              <w:right w:val="single" w:color="auto" w:sz="4" w:space="0"/>
            </w:tcBorders>
            <w:shd w:val="clear" w:color="auto" w:fill="FFFFFF"/>
            <w:tcMar>
              <w:top w:w="0" w:type="dxa"/>
              <w:left w:w="14" w:type="dxa"/>
              <w:bottom w:w="0" w:type="dxa"/>
              <w:right w:w="14" w:type="dxa"/>
            </w:tcMar>
            <w:vAlign w:val="center"/>
          </w:tcPr>
          <w:p w14:paraId="092EC79E">
            <w:pPr>
              <w:jc w:val="center"/>
              <w:rPr>
                <w:rFonts w:hint="eastAsia" w:ascii="宋体" w:hAnsi="宋体" w:eastAsia="宋体" w:cs="宋体"/>
                <w:sz w:val="24"/>
                <w:szCs w:val="24"/>
              </w:rPr>
            </w:pPr>
            <w:r>
              <w:rPr>
                <w:rFonts w:hint="eastAsia" w:ascii="宋体" w:hAnsi="宋体" w:eastAsia="宋体" w:cs="宋体"/>
                <w:sz w:val="24"/>
                <w:szCs w:val="24"/>
              </w:rPr>
              <w:t>业绩（8分）</w:t>
            </w:r>
          </w:p>
        </w:tc>
        <w:tc>
          <w:tcPr>
            <w:tcW w:w="5318" w:type="dxa"/>
            <w:tcBorders>
              <w:top w:val="single" w:color="auto" w:sz="4" w:space="0"/>
              <w:left w:val="single" w:color="auto" w:sz="4" w:space="0"/>
              <w:bottom w:val="single" w:color="auto" w:sz="4" w:space="0"/>
              <w:right w:val="single" w:color="auto" w:sz="4" w:space="0"/>
            </w:tcBorders>
            <w:shd w:val="clear" w:color="auto" w:fill="FFFFFF"/>
            <w:tcMar>
              <w:top w:w="0" w:type="dxa"/>
              <w:left w:w="14" w:type="dxa"/>
              <w:bottom w:w="0" w:type="dxa"/>
              <w:right w:w="14" w:type="dxa"/>
            </w:tcMar>
            <w:vAlign w:val="center"/>
          </w:tcPr>
          <w:p w14:paraId="62ACAA60">
            <w:pPr>
              <w:rPr>
                <w:rFonts w:hint="eastAsia" w:ascii="宋体" w:hAnsi="宋体" w:eastAsia="宋体"/>
                <w:sz w:val="24"/>
                <w:szCs w:val="24"/>
              </w:rPr>
            </w:pPr>
            <w:r>
              <w:rPr>
                <w:rFonts w:hint="eastAsia" w:ascii="宋体" w:hAnsi="宋体" w:eastAsia="宋体"/>
                <w:sz w:val="24"/>
                <w:szCs w:val="24"/>
              </w:rPr>
              <w:t>投标人自</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年1月1日</w:t>
            </w:r>
            <w:r>
              <w:rPr>
                <w:rFonts w:hint="eastAsia" w:ascii="宋体" w:hAnsi="宋体" w:eastAsia="宋体"/>
                <w:sz w:val="24"/>
                <w:szCs w:val="24"/>
              </w:rPr>
              <w:t>及</w:t>
            </w:r>
            <w:r>
              <w:rPr>
                <w:rFonts w:ascii="宋体" w:hAnsi="宋体" w:eastAsia="宋体"/>
                <w:sz w:val="24"/>
                <w:szCs w:val="24"/>
              </w:rPr>
              <w:t>以来，承接过</w:t>
            </w:r>
            <w:r>
              <w:rPr>
                <w:rFonts w:hint="eastAsia" w:ascii="宋体" w:hAnsi="宋体" w:eastAsia="宋体"/>
                <w:sz w:val="24"/>
                <w:szCs w:val="24"/>
              </w:rPr>
              <w:t>同类光网项目的成功案例，</w:t>
            </w:r>
            <w:r>
              <w:rPr>
                <w:rFonts w:ascii="宋体" w:hAnsi="宋体" w:eastAsia="宋体"/>
                <w:sz w:val="24"/>
                <w:szCs w:val="24"/>
              </w:rPr>
              <w:t>每具有一个得</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r>
              <w:rPr>
                <w:rFonts w:ascii="宋体" w:hAnsi="宋体" w:eastAsia="宋体"/>
                <w:bCs/>
                <w:sz w:val="24"/>
                <w:szCs w:val="24"/>
              </w:rPr>
              <w:t>本项最高</w:t>
            </w:r>
            <w:r>
              <w:rPr>
                <w:rFonts w:hint="eastAsia" w:ascii="宋体" w:hAnsi="宋体" w:eastAsia="宋体"/>
                <w:bCs/>
                <w:sz w:val="24"/>
                <w:szCs w:val="24"/>
              </w:rPr>
              <w:t>得8</w:t>
            </w:r>
            <w:r>
              <w:rPr>
                <w:rFonts w:ascii="宋体" w:hAnsi="宋体" w:eastAsia="宋体"/>
                <w:bCs/>
                <w:sz w:val="24"/>
                <w:szCs w:val="24"/>
              </w:rPr>
              <w:t>分</w:t>
            </w:r>
            <w:r>
              <w:rPr>
                <w:rFonts w:hint="eastAsia" w:ascii="宋体" w:hAnsi="宋体" w:eastAsia="宋体"/>
                <w:bCs/>
                <w:sz w:val="24"/>
                <w:szCs w:val="24"/>
              </w:rPr>
              <w:t>。（提供合同复印件并加盖公章。）</w:t>
            </w:r>
          </w:p>
        </w:tc>
      </w:tr>
    </w:tbl>
    <w:p w14:paraId="2DEAE452">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6" w:name="_Toc179553570"/>
      <w:bookmarkStart w:id="7" w:name="_Toc48546591"/>
      <w:bookmarkStart w:id="8" w:name="_Toc65592703"/>
      <w:r>
        <w:rPr>
          <w:rFonts w:hint="eastAsia" w:ascii="宋体" w:hAnsi="宋体" w:eastAsia="宋体" w:cs="宋体"/>
          <w:b/>
          <w:bCs/>
          <w:kern w:val="0"/>
          <w:sz w:val="36"/>
          <w:szCs w:val="36"/>
        </w:rPr>
        <w:t>第四章 项目需求</w:t>
      </w:r>
      <w:bookmarkEnd w:id="6"/>
      <w:bookmarkEnd w:id="7"/>
      <w:bookmarkEnd w:id="8"/>
    </w:p>
    <w:p w14:paraId="59987596">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项目名称：</w:t>
      </w:r>
      <w:r>
        <w:rPr>
          <w:rFonts w:hint="eastAsia" w:ascii="宋体" w:hAnsi="宋体" w:eastAsia="宋体"/>
          <w:sz w:val="24"/>
          <w:szCs w:val="24"/>
        </w:rPr>
        <w:t>金审学院楼宇校园光网增补扩建项目</w:t>
      </w:r>
    </w:p>
    <w:p w14:paraId="48E3F061">
      <w:pPr>
        <w:adjustRightInd w:val="0"/>
        <w:snapToGrid w:val="0"/>
        <w:spacing w:line="360" w:lineRule="auto"/>
        <w:rPr>
          <w:rFonts w:hint="eastAsia" w:ascii="宋体" w:hAnsi="宋体" w:eastAsia="宋体"/>
          <w:sz w:val="24"/>
          <w:szCs w:val="24"/>
        </w:rPr>
      </w:pPr>
      <w:r>
        <w:rPr>
          <w:rFonts w:hint="eastAsia" w:ascii="宋体" w:hAnsi="宋体" w:eastAsia="宋体"/>
          <w:b/>
          <w:bCs/>
          <w:sz w:val="24"/>
          <w:szCs w:val="24"/>
        </w:rPr>
        <w:t>项目内容：</w:t>
      </w:r>
      <w:r>
        <w:rPr>
          <w:rFonts w:hint="eastAsia" w:ascii="宋体" w:hAnsi="宋体" w:eastAsia="宋体"/>
          <w:sz w:val="24"/>
          <w:szCs w:val="24"/>
        </w:rPr>
        <w:t>为了配套1#宿舍、6#宿舍、一站式服务中心、教学C西、C北、行政楼、8号宿舍改教室、快递驿站、商业街等项目的实施，需要进行无线网络的安装和线路的敷设。</w:t>
      </w:r>
    </w:p>
    <w:p w14:paraId="6B89A0DD">
      <w:pPr>
        <w:adjustRightInd w:val="0"/>
        <w:snapToGrid w:val="0"/>
        <w:spacing w:line="360" w:lineRule="auto"/>
        <w:rPr>
          <w:rFonts w:hint="eastAsia" w:ascii="宋体" w:hAnsi="宋体" w:eastAsia="宋体"/>
          <w:sz w:val="24"/>
          <w:szCs w:val="24"/>
        </w:rPr>
      </w:pPr>
      <w:r>
        <w:rPr>
          <w:rFonts w:hint="eastAsia" w:ascii="宋体" w:hAnsi="宋体" w:eastAsia="宋体"/>
          <w:b/>
          <w:bCs/>
          <w:sz w:val="24"/>
          <w:szCs w:val="24"/>
        </w:rPr>
        <w:t>项目地点：</w:t>
      </w:r>
      <w:r>
        <w:rPr>
          <w:rFonts w:hint="eastAsia" w:ascii="宋体" w:hAnsi="宋体" w:eastAsia="宋体"/>
          <w:sz w:val="24"/>
          <w:szCs w:val="24"/>
        </w:rPr>
        <w:t>南京市栖霞区仙林大道100号内</w:t>
      </w:r>
    </w:p>
    <w:p w14:paraId="19ED2025">
      <w:pPr>
        <w:adjustRightInd w:val="0"/>
        <w:snapToGrid w:val="0"/>
        <w:spacing w:line="360" w:lineRule="auto"/>
        <w:rPr>
          <w:rFonts w:hint="eastAsia" w:ascii="宋体" w:hAnsi="宋体" w:eastAsia="宋体"/>
          <w:sz w:val="24"/>
          <w:szCs w:val="24"/>
        </w:rPr>
      </w:pPr>
      <w:r>
        <w:rPr>
          <w:rFonts w:hint="eastAsia" w:ascii="宋体" w:hAnsi="宋体" w:eastAsia="宋体"/>
          <w:b/>
          <w:bCs/>
          <w:sz w:val="24"/>
          <w:szCs w:val="24"/>
        </w:rPr>
        <w:t>交货期：</w:t>
      </w:r>
      <w:r>
        <w:rPr>
          <w:rFonts w:hint="eastAsia" w:ascii="宋体" w:hAnsi="宋体" w:eastAsia="宋体"/>
          <w:sz w:val="24"/>
          <w:szCs w:val="24"/>
        </w:rPr>
        <w:t>按照采购人的项目进度，分批次施工，每一批次施工工期为20天。</w:t>
      </w:r>
    </w:p>
    <w:p w14:paraId="38F6E79C">
      <w:pPr>
        <w:spacing w:line="360" w:lineRule="auto"/>
        <w:rPr>
          <w:rFonts w:hint="eastAsia" w:ascii="宋体" w:hAnsi="宋体" w:eastAsia="宋体"/>
          <w:sz w:val="24"/>
          <w:szCs w:val="24"/>
        </w:rPr>
      </w:pPr>
      <w:r>
        <w:rPr>
          <w:rFonts w:hint="eastAsia" w:ascii="宋体" w:hAnsi="宋体" w:eastAsia="宋体"/>
          <w:b/>
          <w:bCs/>
          <w:sz w:val="24"/>
          <w:szCs w:val="24"/>
        </w:rPr>
        <w:t>质保期：</w:t>
      </w:r>
      <w:r>
        <w:rPr>
          <w:rFonts w:hint="eastAsia" w:ascii="宋体" w:hAnsi="宋体" w:eastAsia="宋体"/>
          <w:sz w:val="24"/>
          <w:szCs w:val="24"/>
        </w:rPr>
        <w:t>网络设备验收合格后不少于伍年。</w:t>
      </w:r>
    </w:p>
    <w:p w14:paraId="3E5FCDC7">
      <w:pPr>
        <w:spacing w:line="360" w:lineRule="auto"/>
        <w:rPr>
          <w:rFonts w:hint="eastAsia" w:ascii="宋体" w:hAnsi="宋体" w:eastAsia="宋体"/>
          <w:sz w:val="24"/>
          <w:szCs w:val="24"/>
        </w:rPr>
      </w:pPr>
    </w:p>
    <w:p w14:paraId="7320200A">
      <w:pPr>
        <w:spacing w:line="360" w:lineRule="auto"/>
        <w:rPr>
          <w:rFonts w:hint="eastAsia" w:ascii="宋体" w:hAnsi="宋体" w:eastAsia="宋体"/>
          <w:b/>
          <w:sz w:val="24"/>
          <w:szCs w:val="24"/>
        </w:rPr>
      </w:pPr>
      <w:r>
        <w:rPr>
          <w:rFonts w:hint="eastAsia" w:ascii="宋体" w:hAnsi="宋体" w:eastAsia="宋体"/>
          <w:b/>
          <w:sz w:val="24"/>
          <w:szCs w:val="24"/>
        </w:rPr>
        <w:t>一、建设要求</w:t>
      </w:r>
    </w:p>
    <w:p w14:paraId="5C302911">
      <w:pPr>
        <w:adjustRightInd w:val="0"/>
        <w:snapToGrid w:val="0"/>
        <w:spacing w:line="360" w:lineRule="auto"/>
        <w:ind w:firstLine="480"/>
        <w:rPr>
          <w:rFonts w:hint="eastAsia" w:ascii="宋体" w:hAnsi="宋体" w:eastAsia="宋体"/>
          <w:sz w:val="24"/>
          <w:szCs w:val="24"/>
        </w:rPr>
      </w:pPr>
      <w:r>
        <w:rPr>
          <w:rFonts w:hint="eastAsia" w:ascii="宋体" w:hAnsi="宋体" w:eastAsia="宋体"/>
          <w:sz w:val="24"/>
          <w:szCs w:val="24"/>
        </w:rPr>
        <w:t>目前我校已完成全校全光网络的改造建设，整体全光接入组网采用10G EPON对等技术、无线采用入户部署Wi-Fi 6协议无线AP进行网络覆盖。</w:t>
      </w:r>
    </w:p>
    <w:p w14:paraId="3EA45FEC">
      <w:pPr>
        <w:adjustRightInd w:val="0"/>
        <w:snapToGrid w:val="0"/>
        <w:spacing w:line="360" w:lineRule="auto"/>
        <w:ind w:firstLine="480"/>
        <w:rPr>
          <w:rFonts w:hint="eastAsia" w:ascii="宋体" w:hAnsi="宋体" w:eastAsia="宋体"/>
          <w:sz w:val="24"/>
          <w:szCs w:val="24"/>
        </w:rPr>
      </w:pPr>
      <w:r>
        <w:rPr>
          <w:rFonts w:hint="eastAsia" w:ascii="宋体" w:hAnsi="宋体" w:eastAsia="宋体"/>
          <w:sz w:val="24"/>
          <w:szCs w:val="24"/>
        </w:rPr>
        <w:t>1、本期为各楼宇的增补扩建项目，涉及楼宇包括：“一站式服务中心”、“行政楼”、“教学楼C北楼”、“教学楼C西楼”、“学生宿舍8”、“学生宿舍1”、“学生宿舍6”。</w:t>
      </w:r>
    </w:p>
    <w:p w14:paraId="4300A60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为实现全网的统一管理、集中管控，增补建设区域需沿用前期技术组网方式以及施工方式。通过万兆光网技术及ONU设备建设本次项目区域的承载网络，ONU设备部署于多媒体箱中，多媒体箱采用集中供电的模式建设，每多媒体箱内部署2芯软铠装光纤用于ONU设备上联，软铠光纤汇聚至壁挂箱内，通过主干光缆互联至核心OLT，ONU由现有OLT设备统一管控。</w:t>
      </w:r>
    </w:p>
    <w:p w14:paraId="0AEECE8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根据各楼宇所涉及的场景情况部署无线点位，通过六类网线完成无线AP与多媒体箱内ONU设备的互联，通过POE供电的方式为无线AP供电，无线AP由现网无线AC统一管控。</w:t>
      </w:r>
    </w:p>
    <w:p w14:paraId="06753B4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2、本次项目需完成“商业街至学生宿舍5舍”、“快递驿站至学生宿舍5舍”的主干光缆建设。</w:t>
      </w:r>
    </w:p>
    <w:p w14:paraId="0DBB0EB7">
      <w:pPr>
        <w:rPr>
          <w:rFonts w:hint="eastAsia" w:ascii="宋体" w:hAnsi="宋体" w:eastAsia="宋体"/>
          <w:b/>
          <w:bCs/>
          <w:sz w:val="24"/>
          <w:szCs w:val="28"/>
        </w:rPr>
      </w:pPr>
    </w:p>
    <w:p w14:paraId="327A0DB4">
      <w:pPr>
        <w:spacing w:line="360" w:lineRule="auto"/>
        <w:rPr>
          <w:rFonts w:hint="eastAsia" w:ascii="宋体" w:hAnsi="宋体" w:eastAsia="宋体"/>
          <w:b/>
          <w:bCs/>
          <w:sz w:val="24"/>
          <w:szCs w:val="28"/>
        </w:rPr>
      </w:pPr>
      <w:r>
        <w:rPr>
          <w:rFonts w:hint="eastAsia" w:ascii="宋体" w:hAnsi="宋体" w:eastAsia="宋体"/>
          <w:b/>
          <w:bCs/>
          <w:sz w:val="24"/>
          <w:szCs w:val="28"/>
        </w:rPr>
        <w:t>二、建设点位</w:t>
      </w:r>
    </w:p>
    <w:p w14:paraId="6A5F15D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室内点位设备设计分布情况如下：</w:t>
      </w:r>
    </w:p>
    <w:p w14:paraId="4B3350C9">
      <w:pPr>
        <w:adjustRightInd w:val="0"/>
        <w:snapToGrid w:val="0"/>
        <w:spacing w:line="360" w:lineRule="auto"/>
        <w:ind w:firstLine="480" w:firstLineChars="200"/>
        <w:rPr>
          <w:rFonts w:hint="eastAsia" w:ascii="宋体" w:hAnsi="宋体" w:eastAsia="宋体"/>
          <w:sz w:val="24"/>
          <w:szCs w:val="24"/>
        </w:rPr>
      </w:pPr>
    </w:p>
    <w:tbl>
      <w:tblPr>
        <w:tblStyle w:val="58"/>
        <w:tblW w:w="8321" w:type="dxa"/>
        <w:tblInd w:w="0" w:type="dxa"/>
        <w:tblLayout w:type="autofit"/>
        <w:tblCellMar>
          <w:top w:w="0" w:type="dxa"/>
          <w:left w:w="108" w:type="dxa"/>
          <w:bottom w:w="0" w:type="dxa"/>
          <w:right w:w="108" w:type="dxa"/>
        </w:tblCellMar>
      </w:tblPr>
      <w:tblGrid>
        <w:gridCol w:w="1838"/>
        <w:gridCol w:w="1097"/>
        <w:gridCol w:w="1174"/>
        <w:gridCol w:w="1353"/>
        <w:gridCol w:w="1353"/>
        <w:gridCol w:w="1506"/>
      </w:tblGrid>
      <w:tr w14:paraId="58B53FF4">
        <w:tblPrEx>
          <w:tblCellMar>
            <w:top w:w="0" w:type="dxa"/>
            <w:left w:w="108" w:type="dxa"/>
            <w:bottom w:w="0" w:type="dxa"/>
            <w:right w:w="108" w:type="dxa"/>
          </w:tblCellMar>
        </w:tblPrEx>
        <w:trPr>
          <w:trHeight w:val="350" w:hRule="atLeast"/>
        </w:trPr>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D1673">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区域</w:t>
            </w:r>
          </w:p>
        </w:tc>
        <w:tc>
          <w:tcPr>
            <w:tcW w:w="1097" w:type="dxa"/>
            <w:tcBorders>
              <w:top w:val="single" w:color="auto" w:sz="4" w:space="0"/>
              <w:left w:val="nil"/>
              <w:bottom w:val="single" w:color="auto" w:sz="4" w:space="0"/>
              <w:right w:val="single" w:color="auto" w:sz="4" w:space="0"/>
            </w:tcBorders>
            <w:shd w:val="clear" w:color="auto" w:fill="auto"/>
            <w:noWrap/>
            <w:vAlign w:val="center"/>
          </w:tcPr>
          <w:p w14:paraId="60E2F08C">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面板AP</w:t>
            </w:r>
          </w:p>
        </w:tc>
        <w:tc>
          <w:tcPr>
            <w:tcW w:w="1174" w:type="dxa"/>
            <w:tcBorders>
              <w:top w:val="single" w:color="auto" w:sz="4" w:space="0"/>
              <w:left w:val="nil"/>
              <w:bottom w:val="single" w:color="auto" w:sz="4" w:space="0"/>
              <w:right w:val="single" w:color="auto" w:sz="4" w:space="0"/>
            </w:tcBorders>
            <w:shd w:val="clear" w:color="auto" w:fill="auto"/>
            <w:noWrap/>
            <w:vAlign w:val="center"/>
          </w:tcPr>
          <w:p w14:paraId="7D332297">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放装AP</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2DC30519">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4口ONU</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2DA76EDE">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8口ONU</w:t>
            </w:r>
          </w:p>
        </w:tc>
        <w:tc>
          <w:tcPr>
            <w:tcW w:w="1506" w:type="dxa"/>
            <w:tcBorders>
              <w:top w:val="single" w:color="auto" w:sz="4" w:space="0"/>
              <w:left w:val="nil"/>
              <w:bottom w:val="single" w:color="auto" w:sz="4" w:space="0"/>
              <w:right w:val="single" w:color="auto" w:sz="4" w:space="0"/>
            </w:tcBorders>
            <w:shd w:val="clear" w:color="auto" w:fill="auto"/>
            <w:noWrap/>
            <w:vAlign w:val="center"/>
          </w:tcPr>
          <w:p w14:paraId="0B550BE0">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16口ONU</w:t>
            </w:r>
          </w:p>
        </w:tc>
      </w:tr>
      <w:tr w14:paraId="2895A408">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3C635A98">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一站式服务</w:t>
            </w:r>
          </w:p>
        </w:tc>
        <w:tc>
          <w:tcPr>
            <w:tcW w:w="1097" w:type="dxa"/>
            <w:tcBorders>
              <w:top w:val="nil"/>
              <w:left w:val="nil"/>
              <w:bottom w:val="single" w:color="auto" w:sz="4" w:space="0"/>
              <w:right w:val="single" w:color="auto" w:sz="4" w:space="0"/>
            </w:tcBorders>
            <w:shd w:val="clear" w:color="auto" w:fill="auto"/>
            <w:noWrap/>
            <w:vAlign w:val="center"/>
          </w:tcPr>
          <w:p w14:paraId="4A9742B9">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4</w:t>
            </w:r>
          </w:p>
        </w:tc>
        <w:tc>
          <w:tcPr>
            <w:tcW w:w="1174" w:type="dxa"/>
            <w:tcBorders>
              <w:top w:val="nil"/>
              <w:left w:val="nil"/>
              <w:bottom w:val="single" w:color="auto" w:sz="4" w:space="0"/>
              <w:right w:val="single" w:color="auto" w:sz="4" w:space="0"/>
            </w:tcBorders>
            <w:shd w:val="clear" w:color="auto" w:fill="auto"/>
            <w:noWrap/>
            <w:vAlign w:val="center"/>
          </w:tcPr>
          <w:p w14:paraId="27E79451">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2</w:t>
            </w:r>
          </w:p>
        </w:tc>
        <w:tc>
          <w:tcPr>
            <w:tcW w:w="1353" w:type="dxa"/>
            <w:tcBorders>
              <w:top w:val="nil"/>
              <w:left w:val="nil"/>
              <w:bottom w:val="single" w:color="auto" w:sz="4" w:space="0"/>
              <w:right w:val="single" w:color="auto" w:sz="4" w:space="0"/>
            </w:tcBorders>
            <w:shd w:val="clear" w:color="auto" w:fill="auto"/>
            <w:noWrap/>
            <w:vAlign w:val="center"/>
          </w:tcPr>
          <w:p w14:paraId="7A31AA7C">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5E6646B0">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506" w:type="dxa"/>
            <w:tcBorders>
              <w:top w:val="nil"/>
              <w:left w:val="nil"/>
              <w:bottom w:val="single" w:color="auto" w:sz="4" w:space="0"/>
              <w:right w:val="single" w:color="auto" w:sz="4" w:space="0"/>
            </w:tcBorders>
            <w:shd w:val="clear" w:color="auto" w:fill="auto"/>
            <w:noWrap/>
            <w:vAlign w:val="center"/>
          </w:tcPr>
          <w:p w14:paraId="14B2C0A8">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r>
      <w:tr w14:paraId="359F3575">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0FC286D3">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行政楼</w:t>
            </w:r>
          </w:p>
        </w:tc>
        <w:tc>
          <w:tcPr>
            <w:tcW w:w="1097" w:type="dxa"/>
            <w:tcBorders>
              <w:top w:val="nil"/>
              <w:left w:val="nil"/>
              <w:bottom w:val="single" w:color="auto" w:sz="4" w:space="0"/>
              <w:right w:val="single" w:color="auto" w:sz="4" w:space="0"/>
            </w:tcBorders>
            <w:shd w:val="clear" w:color="auto" w:fill="auto"/>
            <w:noWrap/>
            <w:vAlign w:val="center"/>
          </w:tcPr>
          <w:p w14:paraId="34BAFDCE">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6</w:t>
            </w:r>
          </w:p>
        </w:tc>
        <w:tc>
          <w:tcPr>
            <w:tcW w:w="1174" w:type="dxa"/>
            <w:tcBorders>
              <w:top w:val="nil"/>
              <w:left w:val="nil"/>
              <w:bottom w:val="single" w:color="auto" w:sz="4" w:space="0"/>
              <w:right w:val="single" w:color="auto" w:sz="4" w:space="0"/>
            </w:tcBorders>
            <w:shd w:val="clear" w:color="auto" w:fill="auto"/>
            <w:noWrap/>
            <w:vAlign w:val="center"/>
          </w:tcPr>
          <w:p w14:paraId="04A7A7AC">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353" w:type="dxa"/>
            <w:tcBorders>
              <w:top w:val="nil"/>
              <w:left w:val="nil"/>
              <w:bottom w:val="single" w:color="auto" w:sz="4" w:space="0"/>
              <w:right w:val="single" w:color="auto" w:sz="4" w:space="0"/>
            </w:tcBorders>
            <w:shd w:val="clear" w:color="auto" w:fill="auto"/>
            <w:noWrap/>
            <w:vAlign w:val="center"/>
          </w:tcPr>
          <w:p w14:paraId="2ED8312D">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36E34DF6">
            <w:pPr>
              <w:widowControl/>
              <w:jc w:val="center"/>
              <w:rPr>
                <w:rFonts w:hint="eastAsia" w:ascii="宋体" w:hAnsi="宋体" w:eastAsia="宋体" w:cs="Times New Roman"/>
                <w:color w:val="000000"/>
                <w:kern w:val="0"/>
                <w:sz w:val="24"/>
                <w:szCs w:val="24"/>
              </w:rPr>
            </w:pPr>
          </w:p>
        </w:tc>
        <w:tc>
          <w:tcPr>
            <w:tcW w:w="1506" w:type="dxa"/>
            <w:tcBorders>
              <w:top w:val="nil"/>
              <w:left w:val="nil"/>
              <w:bottom w:val="single" w:color="auto" w:sz="4" w:space="0"/>
              <w:right w:val="single" w:color="auto" w:sz="4" w:space="0"/>
            </w:tcBorders>
            <w:shd w:val="clear" w:color="auto" w:fill="auto"/>
            <w:noWrap/>
            <w:vAlign w:val="center"/>
          </w:tcPr>
          <w:p w14:paraId="49329C33">
            <w:pPr>
              <w:widowControl/>
              <w:jc w:val="center"/>
              <w:rPr>
                <w:rFonts w:hint="eastAsia" w:ascii="宋体" w:hAnsi="宋体" w:eastAsia="宋体" w:cs="Times New Roman"/>
                <w:color w:val="000000"/>
                <w:kern w:val="0"/>
                <w:sz w:val="24"/>
                <w:szCs w:val="24"/>
              </w:rPr>
            </w:pPr>
          </w:p>
        </w:tc>
      </w:tr>
      <w:tr w14:paraId="6E680BA0">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37D296AE">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教学楼C北</w:t>
            </w:r>
          </w:p>
        </w:tc>
        <w:tc>
          <w:tcPr>
            <w:tcW w:w="1097" w:type="dxa"/>
            <w:tcBorders>
              <w:top w:val="nil"/>
              <w:left w:val="nil"/>
              <w:bottom w:val="single" w:color="auto" w:sz="4" w:space="0"/>
              <w:right w:val="single" w:color="auto" w:sz="4" w:space="0"/>
            </w:tcBorders>
            <w:shd w:val="clear" w:color="auto" w:fill="auto"/>
            <w:noWrap/>
            <w:vAlign w:val="center"/>
          </w:tcPr>
          <w:p w14:paraId="24EB6E80">
            <w:pPr>
              <w:widowControl/>
              <w:jc w:val="center"/>
              <w:rPr>
                <w:rFonts w:hint="eastAsia" w:ascii="宋体" w:hAnsi="宋体" w:eastAsia="宋体" w:cs="Times New Roman"/>
                <w:color w:val="000000"/>
                <w:kern w:val="0"/>
                <w:sz w:val="24"/>
                <w:szCs w:val="24"/>
              </w:rPr>
            </w:pPr>
          </w:p>
        </w:tc>
        <w:tc>
          <w:tcPr>
            <w:tcW w:w="1174" w:type="dxa"/>
            <w:tcBorders>
              <w:top w:val="nil"/>
              <w:left w:val="nil"/>
              <w:bottom w:val="single" w:color="auto" w:sz="4" w:space="0"/>
              <w:right w:val="single" w:color="auto" w:sz="4" w:space="0"/>
            </w:tcBorders>
            <w:shd w:val="clear" w:color="auto" w:fill="auto"/>
            <w:noWrap/>
            <w:vAlign w:val="center"/>
          </w:tcPr>
          <w:p w14:paraId="76FADD71">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12</w:t>
            </w:r>
          </w:p>
        </w:tc>
        <w:tc>
          <w:tcPr>
            <w:tcW w:w="1353" w:type="dxa"/>
            <w:tcBorders>
              <w:top w:val="nil"/>
              <w:left w:val="nil"/>
              <w:bottom w:val="single" w:color="auto" w:sz="4" w:space="0"/>
              <w:right w:val="single" w:color="auto" w:sz="4" w:space="0"/>
            </w:tcBorders>
            <w:shd w:val="clear" w:color="auto" w:fill="auto"/>
            <w:noWrap/>
            <w:vAlign w:val="center"/>
          </w:tcPr>
          <w:p w14:paraId="110E3A0E">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69D5E441">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6</w:t>
            </w:r>
          </w:p>
        </w:tc>
        <w:tc>
          <w:tcPr>
            <w:tcW w:w="1506" w:type="dxa"/>
            <w:tcBorders>
              <w:top w:val="nil"/>
              <w:left w:val="nil"/>
              <w:bottom w:val="single" w:color="auto" w:sz="4" w:space="0"/>
              <w:right w:val="single" w:color="auto" w:sz="4" w:space="0"/>
            </w:tcBorders>
            <w:shd w:val="clear" w:color="auto" w:fill="auto"/>
            <w:noWrap/>
            <w:vAlign w:val="center"/>
          </w:tcPr>
          <w:p w14:paraId="4DA28228">
            <w:pPr>
              <w:widowControl/>
              <w:jc w:val="center"/>
              <w:rPr>
                <w:rFonts w:hint="eastAsia" w:ascii="宋体" w:hAnsi="宋体" w:eastAsia="宋体" w:cs="Times New Roman"/>
                <w:color w:val="000000"/>
                <w:kern w:val="0"/>
                <w:sz w:val="24"/>
                <w:szCs w:val="24"/>
              </w:rPr>
            </w:pPr>
          </w:p>
        </w:tc>
      </w:tr>
      <w:tr w14:paraId="09223520">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2892E3D3">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教学楼C西</w:t>
            </w:r>
          </w:p>
        </w:tc>
        <w:tc>
          <w:tcPr>
            <w:tcW w:w="1097" w:type="dxa"/>
            <w:tcBorders>
              <w:top w:val="nil"/>
              <w:left w:val="nil"/>
              <w:bottom w:val="single" w:color="auto" w:sz="4" w:space="0"/>
              <w:right w:val="single" w:color="auto" w:sz="4" w:space="0"/>
            </w:tcBorders>
            <w:shd w:val="clear" w:color="auto" w:fill="auto"/>
            <w:noWrap/>
            <w:vAlign w:val="center"/>
          </w:tcPr>
          <w:p w14:paraId="263AE24E">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8</w:t>
            </w:r>
          </w:p>
        </w:tc>
        <w:tc>
          <w:tcPr>
            <w:tcW w:w="1174" w:type="dxa"/>
            <w:tcBorders>
              <w:top w:val="nil"/>
              <w:left w:val="nil"/>
              <w:bottom w:val="single" w:color="auto" w:sz="4" w:space="0"/>
              <w:right w:val="single" w:color="auto" w:sz="4" w:space="0"/>
            </w:tcBorders>
            <w:shd w:val="clear" w:color="auto" w:fill="auto"/>
            <w:noWrap/>
            <w:vAlign w:val="center"/>
          </w:tcPr>
          <w:p w14:paraId="3C089D35">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353" w:type="dxa"/>
            <w:tcBorders>
              <w:top w:val="nil"/>
              <w:left w:val="nil"/>
              <w:bottom w:val="single" w:color="auto" w:sz="4" w:space="0"/>
              <w:right w:val="single" w:color="auto" w:sz="4" w:space="0"/>
            </w:tcBorders>
            <w:shd w:val="clear" w:color="auto" w:fill="auto"/>
            <w:noWrap/>
            <w:vAlign w:val="center"/>
          </w:tcPr>
          <w:p w14:paraId="3183D00C">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353" w:type="dxa"/>
            <w:tcBorders>
              <w:top w:val="nil"/>
              <w:left w:val="nil"/>
              <w:bottom w:val="single" w:color="auto" w:sz="4" w:space="0"/>
              <w:right w:val="single" w:color="auto" w:sz="4" w:space="0"/>
            </w:tcBorders>
            <w:shd w:val="clear" w:color="auto" w:fill="auto"/>
            <w:noWrap/>
            <w:vAlign w:val="center"/>
          </w:tcPr>
          <w:p w14:paraId="28D13560">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506" w:type="dxa"/>
            <w:tcBorders>
              <w:top w:val="nil"/>
              <w:left w:val="nil"/>
              <w:bottom w:val="single" w:color="auto" w:sz="4" w:space="0"/>
              <w:right w:val="single" w:color="auto" w:sz="4" w:space="0"/>
            </w:tcBorders>
            <w:shd w:val="clear" w:color="auto" w:fill="auto"/>
            <w:noWrap/>
            <w:vAlign w:val="center"/>
          </w:tcPr>
          <w:p w14:paraId="7CF9759E">
            <w:pPr>
              <w:widowControl/>
              <w:jc w:val="center"/>
              <w:rPr>
                <w:rFonts w:hint="eastAsia" w:ascii="宋体" w:hAnsi="宋体" w:eastAsia="宋体" w:cs="Times New Roman"/>
                <w:color w:val="000000"/>
                <w:kern w:val="0"/>
                <w:sz w:val="24"/>
                <w:szCs w:val="24"/>
              </w:rPr>
            </w:pPr>
          </w:p>
        </w:tc>
      </w:tr>
      <w:tr w14:paraId="122541CB">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005CB085">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学生宿舍8(</w:t>
            </w:r>
            <w:r>
              <w:rPr>
                <w:rFonts w:hint="eastAsia" w:ascii="宋体" w:hAnsi="宋体" w:eastAsia="宋体" w:cs="Times New Roman"/>
                <w:color w:val="000000"/>
                <w:kern w:val="0"/>
                <w:sz w:val="24"/>
                <w:szCs w:val="24"/>
              </w:rPr>
              <w:t>教室</w:t>
            </w:r>
            <w:r>
              <w:rPr>
                <w:rFonts w:ascii="宋体" w:hAnsi="宋体" w:eastAsia="宋体" w:cs="Times New Roman"/>
                <w:color w:val="000000"/>
                <w:kern w:val="0"/>
                <w:sz w:val="24"/>
                <w:szCs w:val="24"/>
              </w:rPr>
              <w:t>)</w:t>
            </w:r>
          </w:p>
        </w:tc>
        <w:tc>
          <w:tcPr>
            <w:tcW w:w="1097" w:type="dxa"/>
            <w:tcBorders>
              <w:top w:val="nil"/>
              <w:left w:val="nil"/>
              <w:bottom w:val="single" w:color="auto" w:sz="4" w:space="0"/>
              <w:right w:val="single" w:color="auto" w:sz="4" w:space="0"/>
            </w:tcBorders>
            <w:shd w:val="clear" w:color="auto" w:fill="auto"/>
            <w:noWrap/>
            <w:vAlign w:val="center"/>
          </w:tcPr>
          <w:p w14:paraId="7EEC9203">
            <w:pPr>
              <w:widowControl/>
              <w:jc w:val="center"/>
              <w:rPr>
                <w:rFonts w:hint="eastAsia" w:ascii="宋体" w:hAnsi="宋体" w:eastAsia="宋体" w:cs="Times New Roman"/>
                <w:color w:val="000000"/>
                <w:kern w:val="0"/>
                <w:sz w:val="24"/>
                <w:szCs w:val="24"/>
              </w:rPr>
            </w:pPr>
          </w:p>
        </w:tc>
        <w:tc>
          <w:tcPr>
            <w:tcW w:w="1174" w:type="dxa"/>
            <w:tcBorders>
              <w:top w:val="nil"/>
              <w:left w:val="nil"/>
              <w:bottom w:val="single" w:color="auto" w:sz="4" w:space="0"/>
              <w:right w:val="single" w:color="auto" w:sz="4" w:space="0"/>
            </w:tcBorders>
            <w:shd w:val="clear" w:color="auto" w:fill="auto"/>
            <w:noWrap/>
            <w:vAlign w:val="center"/>
          </w:tcPr>
          <w:p w14:paraId="54AA8A08">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6</w:t>
            </w:r>
          </w:p>
        </w:tc>
        <w:tc>
          <w:tcPr>
            <w:tcW w:w="1353" w:type="dxa"/>
            <w:tcBorders>
              <w:top w:val="nil"/>
              <w:left w:val="nil"/>
              <w:bottom w:val="single" w:color="auto" w:sz="4" w:space="0"/>
              <w:right w:val="single" w:color="auto" w:sz="4" w:space="0"/>
            </w:tcBorders>
            <w:shd w:val="clear" w:color="auto" w:fill="auto"/>
            <w:noWrap/>
            <w:vAlign w:val="center"/>
          </w:tcPr>
          <w:p w14:paraId="2D7E3065">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5D136436">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4</w:t>
            </w:r>
          </w:p>
        </w:tc>
        <w:tc>
          <w:tcPr>
            <w:tcW w:w="1506" w:type="dxa"/>
            <w:tcBorders>
              <w:top w:val="nil"/>
              <w:left w:val="nil"/>
              <w:bottom w:val="single" w:color="auto" w:sz="4" w:space="0"/>
              <w:right w:val="single" w:color="auto" w:sz="4" w:space="0"/>
            </w:tcBorders>
            <w:shd w:val="clear" w:color="auto" w:fill="auto"/>
            <w:noWrap/>
            <w:vAlign w:val="center"/>
          </w:tcPr>
          <w:p w14:paraId="4BF85D6F">
            <w:pPr>
              <w:widowControl/>
              <w:jc w:val="center"/>
              <w:rPr>
                <w:rFonts w:hint="eastAsia" w:ascii="宋体" w:hAnsi="宋体" w:eastAsia="宋体" w:cs="Times New Roman"/>
                <w:color w:val="000000"/>
                <w:kern w:val="0"/>
                <w:sz w:val="24"/>
                <w:szCs w:val="24"/>
              </w:rPr>
            </w:pPr>
          </w:p>
        </w:tc>
      </w:tr>
      <w:tr w14:paraId="74984A41">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3A59D3C0">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学生宿舍1</w:t>
            </w:r>
          </w:p>
        </w:tc>
        <w:tc>
          <w:tcPr>
            <w:tcW w:w="1097" w:type="dxa"/>
            <w:tcBorders>
              <w:top w:val="nil"/>
              <w:left w:val="nil"/>
              <w:bottom w:val="single" w:color="auto" w:sz="4" w:space="0"/>
              <w:right w:val="single" w:color="auto" w:sz="4" w:space="0"/>
            </w:tcBorders>
            <w:shd w:val="clear" w:color="auto" w:fill="auto"/>
            <w:noWrap/>
            <w:vAlign w:val="center"/>
          </w:tcPr>
          <w:p w14:paraId="231D3FC6">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24</w:t>
            </w:r>
          </w:p>
        </w:tc>
        <w:tc>
          <w:tcPr>
            <w:tcW w:w="1174" w:type="dxa"/>
            <w:tcBorders>
              <w:top w:val="nil"/>
              <w:left w:val="nil"/>
              <w:bottom w:val="single" w:color="auto" w:sz="4" w:space="0"/>
              <w:right w:val="single" w:color="auto" w:sz="4" w:space="0"/>
            </w:tcBorders>
            <w:shd w:val="clear" w:color="auto" w:fill="auto"/>
            <w:noWrap/>
            <w:vAlign w:val="center"/>
          </w:tcPr>
          <w:p w14:paraId="34244C4C">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6F8FD061">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7B3A1218">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1506" w:type="dxa"/>
            <w:tcBorders>
              <w:top w:val="nil"/>
              <w:left w:val="nil"/>
              <w:bottom w:val="single" w:color="auto" w:sz="4" w:space="0"/>
              <w:right w:val="single" w:color="auto" w:sz="4" w:space="0"/>
            </w:tcBorders>
            <w:shd w:val="clear" w:color="auto" w:fill="auto"/>
            <w:noWrap/>
            <w:vAlign w:val="center"/>
          </w:tcPr>
          <w:p w14:paraId="7DD52278">
            <w:pPr>
              <w:widowControl/>
              <w:jc w:val="center"/>
              <w:rPr>
                <w:rFonts w:hint="eastAsia" w:ascii="宋体" w:hAnsi="宋体" w:eastAsia="宋体" w:cs="Times New Roman"/>
                <w:color w:val="000000"/>
                <w:kern w:val="0"/>
                <w:sz w:val="24"/>
                <w:szCs w:val="24"/>
              </w:rPr>
            </w:pPr>
          </w:p>
        </w:tc>
      </w:tr>
      <w:tr w14:paraId="030B7152">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116598C7">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学生宿舍6</w:t>
            </w:r>
          </w:p>
        </w:tc>
        <w:tc>
          <w:tcPr>
            <w:tcW w:w="1097" w:type="dxa"/>
            <w:tcBorders>
              <w:top w:val="nil"/>
              <w:left w:val="nil"/>
              <w:bottom w:val="single" w:color="auto" w:sz="4" w:space="0"/>
              <w:right w:val="single" w:color="auto" w:sz="4" w:space="0"/>
            </w:tcBorders>
            <w:shd w:val="clear" w:color="auto" w:fill="auto"/>
            <w:noWrap/>
            <w:vAlign w:val="center"/>
          </w:tcPr>
          <w:p w14:paraId="01A2B2D5">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101</w:t>
            </w:r>
          </w:p>
        </w:tc>
        <w:tc>
          <w:tcPr>
            <w:tcW w:w="1174" w:type="dxa"/>
            <w:tcBorders>
              <w:top w:val="nil"/>
              <w:left w:val="nil"/>
              <w:bottom w:val="single" w:color="auto" w:sz="4" w:space="0"/>
              <w:right w:val="single" w:color="auto" w:sz="4" w:space="0"/>
            </w:tcBorders>
            <w:shd w:val="clear" w:color="auto" w:fill="auto"/>
            <w:noWrap/>
            <w:vAlign w:val="center"/>
          </w:tcPr>
          <w:p w14:paraId="59B3531E">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1353" w:type="dxa"/>
            <w:tcBorders>
              <w:top w:val="nil"/>
              <w:left w:val="nil"/>
              <w:bottom w:val="single" w:color="auto" w:sz="4" w:space="0"/>
              <w:right w:val="single" w:color="auto" w:sz="4" w:space="0"/>
            </w:tcBorders>
            <w:shd w:val="clear" w:color="auto" w:fill="auto"/>
            <w:noWrap/>
            <w:vAlign w:val="center"/>
          </w:tcPr>
          <w:p w14:paraId="4F889983">
            <w:pPr>
              <w:widowControl/>
              <w:jc w:val="center"/>
              <w:rPr>
                <w:rFonts w:hint="eastAsia" w:ascii="宋体" w:hAnsi="宋体" w:eastAsia="宋体" w:cs="Times New Roman"/>
                <w:color w:val="000000"/>
                <w:kern w:val="0"/>
                <w:sz w:val="24"/>
                <w:szCs w:val="24"/>
              </w:rPr>
            </w:pPr>
          </w:p>
        </w:tc>
        <w:tc>
          <w:tcPr>
            <w:tcW w:w="1353" w:type="dxa"/>
            <w:tcBorders>
              <w:top w:val="nil"/>
              <w:left w:val="nil"/>
              <w:bottom w:val="single" w:color="auto" w:sz="4" w:space="0"/>
              <w:right w:val="single" w:color="auto" w:sz="4" w:space="0"/>
            </w:tcBorders>
            <w:shd w:val="clear" w:color="auto" w:fill="auto"/>
            <w:noWrap/>
            <w:vAlign w:val="center"/>
          </w:tcPr>
          <w:p w14:paraId="4676264F">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15</w:t>
            </w:r>
          </w:p>
        </w:tc>
        <w:tc>
          <w:tcPr>
            <w:tcW w:w="1506" w:type="dxa"/>
            <w:tcBorders>
              <w:top w:val="nil"/>
              <w:left w:val="nil"/>
              <w:bottom w:val="single" w:color="auto" w:sz="4" w:space="0"/>
              <w:right w:val="single" w:color="auto" w:sz="4" w:space="0"/>
            </w:tcBorders>
            <w:shd w:val="clear" w:color="auto" w:fill="auto"/>
            <w:noWrap/>
            <w:vAlign w:val="center"/>
          </w:tcPr>
          <w:p w14:paraId="3DA877DF">
            <w:pPr>
              <w:widowControl/>
              <w:jc w:val="center"/>
              <w:rPr>
                <w:rFonts w:hint="eastAsia" w:ascii="宋体" w:hAnsi="宋体" w:eastAsia="宋体" w:cs="Times New Roman"/>
                <w:color w:val="000000"/>
                <w:kern w:val="0"/>
                <w:sz w:val="24"/>
                <w:szCs w:val="24"/>
              </w:rPr>
            </w:pPr>
          </w:p>
        </w:tc>
      </w:tr>
      <w:tr w14:paraId="0E572B7E">
        <w:tblPrEx>
          <w:tblCellMar>
            <w:top w:w="0" w:type="dxa"/>
            <w:left w:w="108" w:type="dxa"/>
            <w:bottom w:w="0" w:type="dxa"/>
            <w:right w:w="108" w:type="dxa"/>
          </w:tblCellMar>
        </w:tblPrEx>
        <w:trPr>
          <w:trHeight w:val="35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6906F8F4">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合计</w:t>
            </w:r>
          </w:p>
        </w:tc>
        <w:tc>
          <w:tcPr>
            <w:tcW w:w="1097" w:type="dxa"/>
            <w:tcBorders>
              <w:top w:val="nil"/>
              <w:left w:val="nil"/>
              <w:bottom w:val="single" w:color="auto" w:sz="4" w:space="0"/>
              <w:right w:val="single" w:color="auto" w:sz="4" w:space="0"/>
            </w:tcBorders>
            <w:shd w:val="clear" w:color="auto" w:fill="auto"/>
            <w:noWrap/>
            <w:vAlign w:val="center"/>
          </w:tcPr>
          <w:p w14:paraId="4B89A240">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143</w:t>
            </w:r>
          </w:p>
        </w:tc>
        <w:tc>
          <w:tcPr>
            <w:tcW w:w="1174" w:type="dxa"/>
            <w:tcBorders>
              <w:top w:val="nil"/>
              <w:left w:val="nil"/>
              <w:bottom w:val="single" w:color="auto" w:sz="4" w:space="0"/>
              <w:right w:val="single" w:color="auto" w:sz="4" w:space="0"/>
            </w:tcBorders>
            <w:shd w:val="clear" w:color="auto" w:fill="auto"/>
            <w:noWrap/>
            <w:vAlign w:val="center"/>
          </w:tcPr>
          <w:p w14:paraId="7A225A85">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25</w:t>
            </w:r>
          </w:p>
        </w:tc>
        <w:tc>
          <w:tcPr>
            <w:tcW w:w="1353" w:type="dxa"/>
            <w:tcBorders>
              <w:top w:val="nil"/>
              <w:left w:val="nil"/>
              <w:bottom w:val="single" w:color="auto" w:sz="4" w:space="0"/>
              <w:right w:val="single" w:color="auto" w:sz="4" w:space="0"/>
            </w:tcBorders>
            <w:shd w:val="clear" w:color="auto" w:fill="auto"/>
            <w:noWrap/>
            <w:vAlign w:val="center"/>
          </w:tcPr>
          <w:p w14:paraId="12F7A864">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1</w:t>
            </w:r>
          </w:p>
        </w:tc>
        <w:tc>
          <w:tcPr>
            <w:tcW w:w="1353" w:type="dxa"/>
            <w:tcBorders>
              <w:top w:val="nil"/>
              <w:left w:val="nil"/>
              <w:bottom w:val="single" w:color="auto" w:sz="4" w:space="0"/>
              <w:right w:val="single" w:color="auto" w:sz="4" w:space="0"/>
            </w:tcBorders>
            <w:shd w:val="clear" w:color="auto" w:fill="auto"/>
            <w:noWrap/>
            <w:vAlign w:val="center"/>
          </w:tcPr>
          <w:p w14:paraId="4203B269">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30</w:t>
            </w:r>
          </w:p>
        </w:tc>
        <w:tc>
          <w:tcPr>
            <w:tcW w:w="1506" w:type="dxa"/>
            <w:tcBorders>
              <w:top w:val="nil"/>
              <w:left w:val="nil"/>
              <w:bottom w:val="single" w:color="auto" w:sz="4" w:space="0"/>
              <w:right w:val="single" w:color="auto" w:sz="4" w:space="0"/>
            </w:tcBorders>
            <w:shd w:val="clear" w:color="auto" w:fill="auto"/>
            <w:noWrap/>
            <w:vAlign w:val="center"/>
          </w:tcPr>
          <w:p w14:paraId="22E034D2">
            <w:pPr>
              <w:widowControl/>
              <w:jc w:val="center"/>
              <w:rPr>
                <w:rFonts w:hint="eastAsia"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1</w:t>
            </w:r>
          </w:p>
        </w:tc>
      </w:tr>
    </w:tbl>
    <w:p w14:paraId="41F99780">
      <w:pPr>
        <w:adjustRightInd w:val="0"/>
        <w:snapToGrid w:val="0"/>
        <w:spacing w:line="360" w:lineRule="auto"/>
        <w:ind w:firstLine="420" w:firstLineChars="200"/>
        <w:rPr>
          <w:rFonts w:hint="eastAsia"/>
        </w:rPr>
      </w:pPr>
    </w:p>
    <w:p w14:paraId="45992E45">
      <w:pPr>
        <w:spacing w:line="360" w:lineRule="auto"/>
        <w:rPr>
          <w:rFonts w:hint="eastAsia" w:ascii="宋体" w:hAnsi="宋体" w:eastAsia="宋体"/>
          <w:b/>
          <w:bCs/>
          <w:sz w:val="24"/>
          <w:szCs w:val="28"/>
        </w:rPr>
      </w:pPr>
      <w:r>
        <w:rPr>
          <w:rFonts w:hint="eastAsia" w:ascii="宋体" w:hAnsi="宋体" w:eastAsia="宋体"/>
          <w:b/>
          <w:bCs/>
          <w:sz w:val="24"/>
          <w:szCs w:val="28"/>
        </w:rPr>
        <w:t>三、建设清单</w:t>
      </w:r>
    </w:p>
    <w:p w14:paraId="72BCEA4C">
      <w:pPr>
        <w:spacing w:line="360" w:lineRule="auto"/>
        <w:rPr>
          <w:rFonts w:hint="eastAsia" w:ascii="宋体" w:hAnsi="宋体" w:eastAsia="宋体"/>
          <w:sz w:val="24"/>
          <w:szCs w:val="28"/>
        </w:rPr>
      </w:pPr>
      <w:r>
        <w:rPr>
          <w:rFonts w:hint="eastAsia" w:ascii="宋体" w:hAnsi="宋体" w:eastAsia="宋体"/>
          <w:sz w:val="24"/>
          <w:szCs w:val="28"/>
        </w:rPr>
        <w:t>采购清单及规格要求如下：</w:t>
      </w:r>
    </w:p>
    <w:tbl>
      <w:tblPr>
        <w:tblStyle w:val="5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45"/>
        <w:gridCol w:w="5387"/>
        <w:gridCol w:w="708"/>
        <w:gridCol w:w="709"/>
        <w:gridCol w:w="709"/>
      </w:tblGrid>
      <w:tr w14:paraId="624A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463E2EB2">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序号</w:t>
            </w:r>
          </w:p>
        </w:tc>
        <w:tc>
          <w:tcPr>
            <w:tcW w:w="1275" w:type="dxa"/>
            <w:shd w:val="clear" w:color="auto" w:fill="auto"/>
            <w:vAlign w:val="center"/>
          </w:tcPr>
          <w:p w14:paraId="5A9237B5">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设备/材料</w:t>
            </w:r>
          </w:p>
        </w:tc>
        <w:tc>
          <w:tcPr>
            <w:tcW w:w="5387" w:type="dxa"/>
            <w:shd w:val="clear" w:color="auto" w:fill="auto"/>
            <w:noWrap/>
            <w:vAlign w:val="center"/>
          </w:tcPr>
          <w:p w14:paraId="366FFAD0">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规格</w:t>
            </w:r>
            <w:r>
              <w:rPr>
                <w:rFonts w:hint="eastAsia" w:ascii="宋体" w:hAnsi="宋体" w:eastAsia="宋体" w:cs="Times New Roman"/>
                <w:b/>
                <w:bCs/>
                <w:kern w:val="0"/>
                <w:sz w:val="24"/>
                <w:szCs w:val="24"/>
              </w:rPr>
              <w:t>要求</w:t>
            </w:r>
          </w:p>
        </w:tc>
        <w:tc>
          <w:tcPr>
            <w:tcW w:w="708" w:type="dxa"/>
            <w:shd w:val="clear" w:color="auto" w:fill="auto"/>
            <w:noWrap/>
            <w:vAlign w:val="center"/>
          </w:tcPr>
          <w:p w14:paraId="00F5D229">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数量</w:t>
            </w:r>
          </w:p>
        </w:tc>
        <w:tc>
          <w:tcPr>
            <w:tcW w:w="709" w:type="dxa"/>
            <w:shd w:val="clear" w:color="auto" w:fill="auto"/>
            <w:noWrap/>
            <w:vAlign w:val="center"/>
          </w:tcPr>
          <w:p w14:paraId="718C2524">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单位</w:t>
            </w:r>
          </w:p>
        </w:tc>
        <w:tc>
          <w:tcPr>
            <w:tcW w:w="709" w:type="dxa"/>
            <w:shd w:val="clear" w:color="auto" w:fill="auto"/>
            <w:noWrap/>
            <w:vAlign w:val="center"/>
          </w:tcPr>
          <w:p w14:paraId="2879C367">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备注</w:t>
            </w:r>
          </w:p>
        </w:tc>
      </w:tr>
      <w:tr w14:paraId="5D92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4CD642E9">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1275" w:type="dxa"/>
            <w:shd w:val="clear" w:color="auto" w:fill="auto"/>
            <w:vAlign w:val="center"/>
          </w:tcPr>
          <w:p w14:paraId="52D1D4F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高密AP</w:t>
            </w:r>
          </w:p>
        </w:tc>
        <w:tc>
          <w:tcPr>
            <w:tcW w:w="5387" w:type="dxa"/>
            <w:shd w:val="clear" w:color="auto" w:fill="auto"/>
            <w:vAlign w:val="center"/>
          </w:tcPr>
          <w:p w14:paraId="56E3C5EB">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品牌：H3C</w:t>
            </w:r>
          </w:p>
          <w:p w14:paraId="7B2CBF6E">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型号：H3C WA6530</w:t>
            </w:r>
          </w:p>
          <w:p w14:paraId="7EB8D0D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甲供，中标单位负责安装，</w:t>
            </w:r>
            <w:r>
              <w:rPr>
                <w:rFonts w:hint="eastAsia" w:ascii="宋体" w:hAnsi="宋体" w:eastAsia="宋体" w:cs="Times New Roman"/>
                <w:kern w:val="0"/>
                <w:sz w:val="24"/>
                <w:szCs w:val="24"/>
              </w:rPr>
              <w:t>部署</w:t>
            </w:r>
            <w:r>
              <w:rPr>
                <w:rFonts w:ascii="宋体" w:hAnsi="宋体" w:eastAsia="宋体" w:cs="Times New Roman"/>
                <w:kern w:val="0"/>
                <w:sz w:val="24"/>
                <w:szCs w:val="24"/>
              </w:rPr>
              <w:t>，调试，优化</w:t>
            </w:r>
          </w:p>
        </w:tc>
        <w:tc>
          <w:tcPr>
            <w:tcW w:w="708" w:type="dxa"/>
            <w:shd w:val="clear" w:color="auto" w:fill="auto"/>
            <w:noWrap/>
            <w:vAlign w:val="center"/>
          </w:tcPr>
          <w:p w14:paraId="133118A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25</w:t>
            </w:r>
          </w:p>
        </w:tc>
        <w:tc>
          <w:tcPr>
            <w:tcW w:w="709" w:type="dxa"/>
            <w:shd w:val="clear" w:color="auto" w:fill="auto"/>
            <w:noWrap/>
            <w:vAlign w:val="center"/>
          </w:tcPr>
          <w:p w14:paraId="5D8AC5C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709" w:type="dxa"/>
            <w:shd w:val="clear" w:color="auto" w:fill="auto"/>
            <w:noWrap/>
            <w:vAlign w:val="center"/>
          </w:tcPr>
          <w:p w14:paraId="2FD3709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甲供</w:t>
            </w:r>
          </w:p>
        </w:tc>
      </w:tr>
      <w:tr w14:paraId="1FD2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shd w:val="clear" w:color="auto" w:fill="auto"/>
            <w:noWrap/>
            <w:vAlign w:val="center"/>
          </w:tcPr>
          <w:p w14:paraId="49F1CBF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w:t>
            </w:r>
          </w:p>
        </w:tc>
        <w:tc>
          <w:tcPr>
            <w:tcW w:w="1275" w:type="dxa"/>
            <w:shd w:val="clear" w:color="auto" w:fill="auto"/>
            <w:vAlign w:val="center"/>
          </w:tcPr>
          <w:p w14:paraId="5C2A6D3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多媒体箱（单开门）</w:t>
            </w:r>
          </w:p>
        </w:tc>
        <w:tc>
          <w:tcPr>
            <w:tcW w:w="5387" w:type="dxa"/>
            <w:shd w:val="clear" w:color="auto" w:fill="auto"/>
            <w:vAlign w:val="center"/>
          </w:tcPr>
          <w:p w14:paraId="62ACB07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尺寸：≤370*420*110mm （高*宽*深）；支持ONU设备端口向下壁挂安装</w:t>
            </w:r>
          </w:p>
          <w:p w14:paraId="15F9DA9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甲供，中标单位负责安装，</w:t>
            </w:r>
            <w:r>
              <w:rPr>
                <w:rFonts w:hint="eastAsia" w:ascii="宋体" w:hAnsi="宋体" w:eastAsia="宋体" w:cs="Times New Roman"/>
                <w:kern w:val="0"/>
                <w:sz w:val="24"/>
                <w:szCs w:val="24"/>
              </w:rPr>
              <w:t>部署</w:t>
            </w:r>
          </w:p>
        </w:tc>
        <w:tc>
          <w:tcPr>
            <w:tcW w:w="708" w:type="dxa"/>
            <w:shd w:val="clear" w:color="auto" w:fill="auto"/>
            <w:noWrap/>
            <w:vAlign w:val="center"/>
          </w:tcPr>
          <w:p w14:paraId="2D445A4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w:t>
            </w:r>
          </w:p>
        </w:tc>
        <w:tc>
          <w:tcPr>
            <w:tcW w:w="709" w:type="dxa"/>
            <w:shd w:val="clear" w:color="auto" w:fill="auto"/>
            <w:noWrap/>
            <w:vAlign w:val="center"/>
          </w:tcPr>
          <w:p w14:paraId="32492EB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3C90F34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甲供</w:t>
            </w:r>
          </w:p>
        </w:tc>
      </w:tr>
      <w:tr w14:paraId="445F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vMerge w:val="restart"/>
            <w:shd w:val="clear" w:color="auto" w:fill="auto"/>
            <w:noWrap/>
            <w:vAlign w:val="center"/>
          </w:tcPr>
          <w:p w14:paraId="6C0D2BF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w:t>
            </w:r>
          </w:p>
        </w:tc>
        <w:tc>
          <w:tcPr>
            <w:tcW w:w="1275" w:type="dxa"/>
            <w:vMerge w:val="restart"/>
            <w:shd w:val="clear" w:color="auto" w:fill="auto"/>
            <w:vAlign w:val="center"/>
          </w:tcPr>
          <w:p w14:paraId="5B079A49">
            <w:pPr>
              <w:widowControl/>
              <w:jc w:val="center"/>
              <w:rPr>
                <w:rFonts w:hint="eastAsia"/>
                <w:color w:val="000000"/>
                <w:szCs w:val="21"/>
              </w:rPr>
            </w:pPr>
            <w:r>
              <w:rPr>
                <w:rFonts w:hint="eastAsia"/>
                <w:color w:val="000000"/>
                <w:szCs w:val="21"/>
              </w:rPr>
              <w:t>▲</w:t>
            </w:r>
          </w:p>
          <w:p w14:paraId="505D1C0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面板AP</w:t>
            </w:r>
          </w:p>
        </w:tc>
        <w:tc>
          <w:tcPr>
            <w:tcW w:w="5387" w:type="dxa"/>
            <w:shd w:val="clear" w:color="auto" w:fill="auto"/>
            <w:vAlign w:val="center"/>
          </w:tcPr>
          <w:p w14:paraId="1F08AB95">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整机要求：采用双射频设计，整机4条空间流，最高协商速率≥2.975Gbps，≥1个GE电接口（上行），≥2个GE电接口（下行）。所有射频均支持802.11ax协议标准</w:t>
            </w:r>
            <w:r>
              <w:rPr>
                <w:rFonts w:hint="eastAsia" w:ascii="宋体" w:hAnsi="宋体" w:eastAsia="宋体" w:cs="Times New Roman"/>
                <w:kern w:val="0"/>
                <w:sz w:val="24"/>
                <w:szCs w:val="24"/>
              </w:rPr>
              <w:t>（提供原厂五年免费质保承诺函）</w:t>
            </w:r>
          </w:p>
        </w:tc>
        <w:tc>
          <w:tcPr>
            <w:tcW w:w="708" w:type="dxa"/>
            <w:vMerge w:val="restart"/>
            <w:shd w:val="clear" w:color="auto" w:fill="auto"/>
            <w:noWrap/>
            <w:vAlign w:val="center"/>
          </w:tcPr>
          <w:p w14:paraId="2AAB3CB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143</w:t>
            </w:r>
          </w:p>
        </w:tc>
        <w:tc>
          <w:tcPr>
            <w:tcW w:w="709" w:type="dxa"/>
            <w:vMerge w:val="restart"/>
            <w:shd w:val="clear" w:color="auto" w:fill="auto"/>
            <w:noWrap/>
            <w:vAlign w:val="center"/>
          </w:tcPr>
          <w:p w14:paraId="0644D3D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709" w:type="dxa"/>
            <w:vMerge w:val="restart"/>
            <w:shd w:val="clear" w:color="auto" w:fill="auto"/>
            <w:noWrap/>
            <w:vAlign w:val="center"/>
          </w:tcPr>
          <w:p w14:paraId="197F5152">
            <w:pPr>
              <w:widowControl/>
              <w:jc w:val="center"/>
              <w:rPr>
                <w:rFonts w:hint="eastAsia" w:ascii="宋体" w:hAnsi="宋体" w:eastAsia="宋体" w:cs="Times New Roman"/>
                <w:kern w:val="0"/>
                <w:sz w:val="24"/>
                <w:szCs w:val="24"/>
              </w:rPr>
            </w:pPr>
          </w:p>
        </w:tc>
      </w:tr>
      <w:tr w14:paraId="37AE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vAlign w:val="center"/>
          </w:tcPr>
          <w:p w14:paraId="1ECF5E19">
            <w:pPr>
              <w:widowControl/>
              <w:jc w:val="left"/>
              <w:rPr>
                <w:rFonts w:hint="eastAsia" w:ascii="宋体" w:hAnsi="宋体" w:eastAsia="宋体" w:cs="Times New Roman"/>
                <w:kern w:val="0"/>
                <w:sz w:val="24"/>
                <w:szCs w:val="24"/>
              </w:rPr>
            </w:pPr>
          </w:p>
        </w:tc>
        <w:tc>
          <w:tcPr>
            <w:tcW w:w="1275" w:type="dxa"/>
            <w:vMerge w:val="continue"/>
            <w:vAlign w:val="center"/>
          </w:tcPr>
          <w:p w14:paraId="14599FE7">
            <w:pPr>
              <w:widowControl/>
              <w:jc w:val="left"/>
              <w:rPr>
                <w:rFonts w:hint="eastAsia" w:ascii="宋体" w:hAnsi="宋体" w:eastAsia="宋体" w:cs="Times New Roman"/>
                <w:kern w:val="0"/>
                <w:sz w:val="24"/>
                <w:szCs w:val="24"/>
              </w:rPr>
            </w:pPr>
          </w:p>
        </w:tc>
        <w:tc>
          <w:tcPr>
            <w:tcW w:w="5387" w:type="dxa"/>
            <w:shd w:val="clear" w:color="auto" w:fill="auto"/>
            <w:vAlign w:val="center"/>
          </w:tcPr>
          <w:p w14:paraId="4D582AF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兼容要求：需与我校现网AC设备兼容，实现统一管理、集中管控</w:t>
            </w:r>
          </w:p>
        </w:tc>
        <w:tc>
          <w:tcPr>
            <w:tcW w:w="708" w:type="dxa"/>
            <w:vMerge w:val="continue"/>
            <w:vAlign w:val="center"/>
          </w:tcPr>
          <w:p w14:paraId="4A747170">
            <w:pPr>
              <w:widowControl/>
              <w:jc w:val="left"/>
              <w:rPr>
                <w:rFonts w:hint="eastAsia" w:ascii="宋体" w:hAnsi="宋体" w:eastAsia="宋体" w:cs="Times New Roman"/>
                <w:kern w:val="0"/>
                <w:sz w:val="24"/>
                <w:szCs w:val="24"/>
              </w:rPr>
            </w:pPr>
          </w:p>
        </w:tc>
        <w:tc>
          <w:tcPr>
            <w:tcW w:w="709" w:type="dxa"/>
            <w:vMerge w:val="continue"/>
            <w:vAlign w:val="center"/>
          </w:tcPr>
          <w:p w14:paraId="7030A243">
            <w:pPr>
              <w:widowControl/>
              <w:jc w:val="left"/>
              <w:rPr>
                <w:rFonts w:hint="eastAsia" w:ascii="宋体" w:hAnsi="宋体" w:eastAsia="宋体" w:cs="Times New Roman"/>
                <w:kern w:val="0"/>
                <w:sz w:val="24"/>
                <w:szCs w:val="24"/>
              </w:rPr>
            </w:pPr>
          </w:p>
        </w:tc>
        <w:tc>
          <w:tcPr>
            <w:tcW w:w="709" w:type="dxa"/>
            <w:vMerge w:val="continue"/>
            <w:vAlign w:val="center"/>
          </w:tcPr>
          <w:p w14:paraId="14CDD69C">
            <w:pPr>
              <w:widowControl/>
              <w:jc w:val="left"/>
              <w:rPr>
                <w:rFonts w:hint="eastAsia" w:ascii="宋体" w:hAnsi="宋体" w:eastAsia="宋体" w:cs="Times New Roman"/>
                <w:kern w:val="0"/>
                <w:sz w:val="24"/>
                <w:szCs w:val="24"/>
              </w:rPr>
            </w:pPr>
          </w:p>
        </w:tc>
      </w:tr>
      <w:tr w14:paraId="1D40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vMerge w:val="restart"/>
            <w:shd w:val="clear" w:color="auto" w:fill="auto"/>
            <w:noWrap/>
            <w:vAlign w:val="center"/>
          </w:tcPr>
          <w:p w14:paraId="48C68D3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1275" w:type="dxa"/>
            <w:vMerge w:val="restart"/>
            <w:shd w:val="clear" w:color="auto" w:fill="auto"/>
            <w:vAlign w:val="center"/>
          </w:tcPr>
          <w:p w14:paraId="3B965777">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w:t>
            </w:r>
          </w:p>
          <w:p w14:paraId="04246E7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4口ONU</w:t>
            </w:r>
          </w:p>
        </w:tc>
        <w:tc>
          <w:tcPr>
            <w:tcW w:w="5387" w:type="dxa"/>
            <w:shd w:val="clear" w:color="auto" w:fill="auto"/>
            <w:vAlign w:val="center"/>
          </w:tcPr>
          <w:p w14:paraId="04AFA6C0">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PON口≥1（含对等模块），用户侧GE接口≥4，支持POE/POE+，整机供电功率≥60W</w:t>
            </w:r>
            <w:r>
              <w:rPr>
                <w:rFonts w:hint="eastAsia" w:ascii="宋体" w:hAnsi="宋体" w:eastAsia="宋体" w:cs="Times New Roman"/>
                <w:kern w:val="0"/>
                <w:sz w:val="24"/>
                <w:szCs w:val="24"/>
              </w:rPr>
              <w:t>（提供原厂五年免费质保承诺函）</w:t>
            </w:r>
          </w:p>
        </w:tc>
        <w:tc>
          <w:tcPr>
            <w:tcW w:w="708" w:type="dxa"/>
            <w:vMerge w:val="restart"/>
            <w:shd w:val="clear" w:color="auto" w:fill="auto"/>
            <w:noWrap/>
            <w:vAlign w:val="center"/>
          </w:tcPr>
          <w:p w14:paraId="619CD87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709" w:type="dxa"/>
            <w:vMerge w:val="restart"/>
            <w:shd w:val="clear" w:color="auto" w:fill="auto"/>
            <w:noWrap/>
            <w:vAlign w:val="center"/>
          </w:tcPr>
          <w:p w14:paraId="5928EFF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709" w:type="dxa"/>
            <w:vMerge w:val="restart"/>
            <w:shd w:val="clear" w:color="auto" w:fill="auto"/>
            <w:noWrap/>
            <w:vAlign w:val="center"/>
          </w:tcPr>
          <w:p w14:paraId="128BEE45">
            <w:pPr>
              <w:widowControl/>
              <w:jc w:val="center"/>
              <w:rPr>
                <w:rFonts w:hint="eastAsia" w:ascii="宋体" w:hAnsi="宋体" w:eastAsia="宋体" w:cs="Times New Roman"/>
                <w:kern w:val="0"/>
                <w:sz w:val="24"/>
                <w:szCs w:val="24"/>
              </w:rPr>
            </w:pPr>
          </w:p>
        </w:tc>
      </w:tr>
      <w:tr w14:paraId="2F9F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vAlign w:val="center"/>
          </w:tcPr>
          <w:p w14:paraId="4E3CC9EB">
            <w:pPr>
              <w:widowControl/>
              <w:jc w:val="left"/>
              <w:rPr>
                <w:rFonts w:hint="eastAsia" w:ascii="宋体" w:hAnsi="宋体" w:eastAsia="宋体" w:cs="Times New Roman"/>
                <w:kern w:val="0"/>
                <w:sz w:val="24"/>
                <w:szCs w:val="24"/>
              </w:rPr>
            </w:pPr>
          </w:p>
        </w:tc>
        <w:tc>
          <w:tcPr>
            <w:tcW w:w="1275" w:type="dxa"/>
            <w:vMerge w:val="continue"/>
            <w:vAlign w:val="center"/>
          </w:tcPr>
          <w:p w14:paraId="0D1B1A2F">
            <w:pPr>
              <w:widowControl/>
              <w:jc w:val="left"/>
              <w:rPr>
                <w:rFonts w:hint="eastAsia" w:ascii="宋体" w:hAnsi="宋体" w:eastAsia="宋体" w:cs="Times New Roman"/>
                <w:kern w:val="0"/>
                <w:sz w:val="24"/>
                <w:szCs w:val="24"/>
              </w:rPr>
            </w:pPr>
          </w:p>
        </w:tc>
        <w:tc>
          <w:tcPr>
            <w:tcW w:w="5387" w:type="dxa"/>
            <w:shd w:val="clear" w:color="auto" w:fill="auto"/>
            <w:vAlign w:val="center"/>
          </w:tcPr>
          <w:p w14:paraId="63C8406F">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708" w:type="dxa"/>
            <w:vMerge w:val="continue"/>
            <w:vAlign w:val="center"/>
          </w:tcPr>
          <w:p w14:paraId="145CC77B">
            <w:pPr>
              <w:widowControl/>
              <w:jc w:val="left"/>
              <w:rPr>
                <w:rFonts w:hint="eastAsia" w:ascii="宋体" w:hAnsi="宋体" w:eastAsia="宋体" w:cs="Times New Roman"/>
                <w:kern w:val="0"/>
                <w:sz w:val="24"/>
                <w:szCs w:val="24"/>
              </w:rPr>
            </w:pPr>
          </w:p>
        </w:tc>
        <w:tc>
          <w:tcPr>
            <w:tcW w:w="709" w:type="dxa"/>
            <w:vMerge w:val="continue"/>
            <w:vAlign w:val="center"/>
          </w:tcPr>
          <w:p w14:paraId="465D7567">
            <w:pPr>
              <w:widowControl/>
              <w:jc w:val="left"/>
              <w:rPr>
                <w:rFonts w:hint="eastAsia" w:ascii="宋体" w:hAnsi="宋体" w:eastAsia="宋体" w:cs="Times New Roman"/>
                <w:kern w:val="0"/>
                <w:sz w:val="24"/>
                <w:szCs w:val="24"/>
              </w:rPr>
            </w:pPr>
          </w:p>
        </w:tc>
        <w:tc>
          <w:tcPr>
            <w:tcW w:w="709" w:type="dxa"/>
            <w:vMerge w:val="continue"/>
            <w:vAlign w:val="center"/>
          </w:tcPr>
          <w:p w14:paraId="0A6DC158">
            <w:pPr>
              <w:widowControl/>
              <w:jc w:val="left"/>
              <w:rPr>
                <w:rFonts w:hint="eastAsia" w:ascii="宋体" w:hAnsi="宋体" w:eastAsia="宋体" w:cs="Times New Roman"/>
                <w:kern w:val="0"/>
                <w:sz w:val="24"/>
                <w:szCs w:val="24"/>
              </w:rPr>
            </w:pPr>
          </w:p>
        </w:tc>
      </w:tr>
      <w:tr w14:paraId="1006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vMerge w:val="restart"/>
            <w:shd w:val="clear" w:color="auto" w:fill="auto"/>
            <w:noWrap/>
            <w:vAlign w:val="center"/>
          </w:tcPr>
          <w:p w14:paraId="02DDDBB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5</w:t>
            </w:r>
          </w:p>
        </w:tc>
        <w:tc>
          <w:tcPr>
            <w:tcW w:w="1275" w:type="dxa"/>
            <w:vMerge w:val="restart"/>
            <w:shd w:val="clear" w:color="auto" w:fill="auto"/>
            <w:vAlign w:val="center"/>
          </w:tcPr>
          <w:p w14:paraId="42709A99">
            <w:pPr>
              <w:widowControl/>
              <w:jc w:val="center"/>
              <w:rPr>
                <w:rFonts w:hint="eastAsia"/>
                <w:color w:val="000000"/>
                <w:szCs w:val="21"/>
              </w:rPr>
            </w:pPr>
            <w:r>
              <w:rPr>
                <w:rFonts w:hint="eastAsia"/>
                <w:color w:val="000000"/>
                <w:szCs w:val="21"/>
              </w:rPr>
              <w:t>▲</w:t>
            </w:r>
          </w:p>
          <w:p w14:paraId="144276C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8口ONU</w:t>
            </w:r>
          </w:p>
        </w:tc>
        <w:tc>
          <w:tcPr>
            <w:tcW w:w="5387" w:type="dxa"/>
            <w:shd w:val="clear" w:color="auto" w:fill="auto"/>
            <w:vAlign w:val="center"/>
          </w:tcPr>
          <w:p w14:paraId="54D2DFA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PON口≥1（含对等模块），用户侧GE接口≥8，支持POE/POE+，整机供电功率≥120W</w:t>
            </w:r>
            <w:r>
              <w:rPr>
                <w:rFonts w:hint="eastAsia" w:ascii="宋体" w:hAnsi="宋体" w:eastAsia="宋体" w:cs="Times New Roman"/>
                <w:kern w:val="0"/>
                <w:sz w:val="24"/>
                <w:szCs w:val="24"/>
              </w:rPr>
              <w:t>（提供原厂五年免费质保承诺函）</w:t>
            </w:r>
          </w:p>
        </w:tc>
        <w:tc>
          <w:tcPr>
            <w:tcW w:w="708" w:type="dxa"/>
            <w:vMerge w:val="restart"/>
            <w:shd w:val="clear" w:color="auto" w:fill="auto"/>
            <w:noWrap/>
            <w:vAlign w:val="center"/>
          </w:tcPr>
          <w:p w14:paraId="38DBA93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30</w:t>
            </w:r>
          </w:p>
        </w:tc>
        <w:tc>
          <w:tcPr>
            <w:tcW w:w="709" w:type="dxa"/>
            <w:vMerge w:val="restart"/>
            <w:shd w:val="clear" w:color="auto" w:fill="auto"/>
            <w:noWrap/>
            <w:vAlign w:val="center"/>
          </w:tcPr>
          <w:p w14:paraId="5DF88E9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709" w:type="dxa"/>
            <w:vMerge w:val="restart"/>
            <w:shd w:val="clear" w:color="auto" w:fill="auto"/>
            <w:noWrap/>
            <w:vAlign w:val="center"/>
          </w:tcPr>
          <w:p w14:paraId="2383BD68">
            <w:pPr>
              <w:widowControl/>
              <w:jc w:val="center"/>
              <w:rPr>
                <w:rFonts w:hint="eastAsia" w:ascii="宋体" w:hAnsi="宋体" w:eastAsia="宋体" w:cs="Times New Roman"/>
                <w:kern w:val="0"/>
                <w:sz w:val="24"/>
                <w:szCs w:val="24"/>
              </w:rPr>
            </w:pPr>
          </w:p>
        </w:tc>
      </w:tr>
      <w:tr w14:paraId="11E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vAlign w:val="center"/>
          </w:tcPr>
          <w:p w14:paraId="51DD809C">
            <w:pPr>
              <w:widowControl/>
              <w:jc w:val="left"/>
              <w:rPr>
                <w:rFonts w:hint="eastAsia" w:ascii="宋体" w:hAnsi="宋体" w:eastAsia="宋体" w:cs="Times New Roman"/>
                <w:kern w:val="0"/>
                <w:sz w:val="24"/>
                <w:szCs w:val="24"/>
              </w:rPr>
            </w:pPr>
          </w:p>
        </w:tc>
        <w:tc>
          <w:tcPr>
            <w:tcW w:w="1275" w:type="dxa"/>
            <w:vMerge w:val="continue"/>
            <w:vAlign w:val="center"/>
          </w:tcPr>
          <w:p w14:paraId="399BC274">
            <w:pPr>
              <w:widowControl/>
              <w:jc w:val="left"/>
              <w:rPr>
                <w:rFonts w:hint="eastAsia" w:ascii="宋体" w:hAnsi="宋体" w:eastAsia="宋体" w:cs="Times New Roman"/>
                <w:kern w:val="0"/>
                <w:sz w:val="24"/>
                <w:szCs w:val="24"/>
              </w:rPr>
            </w:pPr>
          </w:p>
        </w:tc>
        <w:tc>
          <w:tcPr>
            <w:tcW w:w="5387" w:type="dxa"/>
            <w:shd w:val="clear" w:color="auto" w:fill="auto"/>
            <w:vAlign w:val="center"/>
          </w:tcPr>
          <w:p w14:paraId="277FB78E">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708" w:type="dxa"/>
            <w:vMerge w:val="continue"/>
            <w:vAlign w:val="center"/>
          </w:tcPr>
          <w:p w14:paraId="69B18D23">
            <w:pPr>
              <w:widowControl/>
              <w:jc w:val="left"/>
              <w:rPr>
                <w:rFonts w:hint="eastAsia" w:ascii="宋体" w:hAnsi="宋体" w:eastAsia="宋体" w:cs="Times New Roman"/>
                <w:kern w:val="0"/>
                <w:sz w:val="24"/>
                <w:szCs w:val="24"/>
              </w:rPr>
            </w:pPr>
          </w:p>
        </w:tc>
        <w:tc>
          <w:tcPr>
            <w:tcW w:w="709" w:type="dxa"/>
            <w:vMerge w:val="continue"/>
            <w:vAlign w:val="center"/>
          </w:tcPr>
          <w:p w14:paraId="5B806DA7">
            <w:pPr>
              <w:widowControl/>
              <w:jc w:val="left"/>
              <w:rPr>
                <w:rFonts w:hint="eastAsia" w:ascii="宋体" w:hAnsi="宋体" w:eastAsia="宋体" w:cs="Times New Roman"/>
                <w:kern w:val="0"/>
                <w:sz w:val="24"/>
                <w:szCs w:val="24"/>
              </w:rPr>
            </w:pPr>
          </w:p>
        </w:tc>
        <w:tc>
          <w:tcPr>
            <w:tcW w:w="709" w:type="dxa"/>
            <w:vMerge w:val="continue"/>
            <w:vAlign w:val="center"/>
          </w:tcPr>
          <w:p w14:paraId="68FB75C2">
            <w:pPr>
              <w:widowControl/>
              <w:jc w:val="left"/>
              <w:rPr>
                <w:rFonts w:hint="eastAsia" w:ascii="宋体" w:hAnsi="宋体" w:eastAsia="宋体" w:cs="Times New Roman"/>
                <w:kern w:val="0"/>
                <w:sz w:val="24"/>
                <w:szCs w:val="24"/>
              </w:rPr>
            </w:pPr>
          </w:p>
        </w:tc>
      </w:tr>
      <w:tr w14:paraId="6011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vMerge w:val="restart"/>
            <w:shd w:val="clear" w:color="auto" w:fill="auto"/>
            <w:noWrap/>
            <w:vAlign w:val="center"/>
          </w:tcPr>
          <w:p w14:paraId="14393F6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6</w:t>
            </w:r>
          </w:p>
        </w:tc>
        <w:tc>
          <w:tcPr>
            <w:tcW w:w="1275" w:type="dxa"/>
            <w:vMerge w:val="restart"/>
            <w:shd w:val="clear" w:color="auto" w:fill="auto"/>
            <w:vAlign w:val="center"/>
          </w:tcPr>
          <w:p w14:paraId="3E63B268">
            <w:pPr>
              <w:widowControl/>
              <w:jc w:val="center"/>
              <w:rPr>
                <w:rFonts w:hint="eastAsia"/>
                <w:color w:val="000000"/>
                <w:szCs w:val="21"/>
              </w:rPr>
            </w:pPr>
            <w:r>
              <w:rPr>
                <w:rFonts w:hint="eastAsia"/>
                <w:color w:val="000000"/>
                <w:szCs w:val="21"/>
              </w:rPr>
              <w:t>▲</w:t>
            </w:r>
          </w:p>
          <w:p w14:paraId="7342810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16口ONU</w:t>
            </w:r>
          </w:p>
        </w:tc>
        <w:tc>
          <w:tcPr>
            <w:tcW w:w="5387" w:type="dxa"/>
            <w:shd w:val="clear" w:color="auto" w:fill="auto"/>
            <w:vAlign w:val="center"/>
          </w:tcPr>
          <w:p w14:paraId="595BBF6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PON口≥1（含对等模块），用户侧GE接口≥8，支持POE/POE+，整机供电功率≥120W</w:t>
            </w:r>
            <w:r>
              <w:rPr>
                <w:rFonts w:hint="eastAsia" w:ascii="宋体" w:hAnsi="宋体" w:eastAsia="宋体" w:cs="Times New Roman"/>
                <w:kern w:val="0"/>
                <w:sz w:val="24"/>
                <w:szCs w:val="24"/>
              </w:rPr>
              <w:t>（提供原厂五年免费质保承诺函）</w:t>
            </w:r>
          </w:p>
        </w:tc>
        <w:tc>
          <w:tcPr>
            <w:tcW w:w="708" w:type="dxa"/>
            <w:vMerge w:val="restart"/>
            <w:shd w:val="clear" w:color="auto" w:fill="auto"/>
            <w:noWrap/>
            <w:vAlign w:val="center"/>
          </w:tcPr>
          <w:p w14:paraId="2FC9D91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709" w:type="dxa"/>
            <w:vMerge w:val="restart"/>
            <w:shd w:val="clear" w:color="auto" w:fill="auto"/>
            <w:noWrap/>
            <w:vAlign w:val="center"/>
          </w:tcPr>
          <w:p w14:paraId="6D9ADE1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709" w:type="dxa"/>
            <w:vMerge w:val="restart"/>
            <w:shd w:val="clear" w:color="auto" w:fill="auto"/>
            <w:noWrap/>
            <w:vAlign w:val="center"/>
          </w:tcPr>
          <w:p w14:paraId="6946E6CE">
            <w:pPr>
              <w:widowControl/>
              <w:jc w:val="center"/>
              <w:rPr>
                <w:rFonts w:hint="eastAsia" w:ascii="宋体" w:hAnsi="宋体" w:eastAsia="宋体" w:cs="Times New Roman"/>
                <w:kern w:val="0"/>
                <w:sz w:val="24"/>
                <w:szCs w:val="24"/>
              </w:rPr>
            </w:pPr>
          </w:p>
        </w:tc>
      </w:tr>
      <w:tr w14:paraId="154C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vAlign w:val="center"/>
          </w:tcPr>
          <w:p w14:paraId="12D9A0A0">
            <w:pPr>
              <w:widowControl/>
              <w:jc w:val="left"/>
              <w:rPr>
                <w:rFonts w:hint="eastAsia" w:ascii="宋体" w:hAnsi="宋体" w:eastAsia="宋体" w:cs="Times New Roman"/>
                <w:kern w:val="0"/>
                <w:sz w:val="24"/>
                <w:szCs w:val="24"/>
              </w:rPr>
            </w:pPr>
          </w:p>
        </w:tc>
        <w:tc>
          <w:tcPr>
            <w:tcW w:w="1275" w:type="dxa"/>
            <w:vMerge w:val="continue"/>
            <w:vAlign w:val="center"/>
          </w:tcPr>
          <w:p w14:paraId="41F3D1A6">
            <w:pPr>
              <w:widowControl/>
              <w:jc w:val="left"/>
              <w:rPr>
                <w:rFonts w:hint="eastAsia" w:ascii="宋体" w:hAnsi="宋体" w:eastAsia="宋体" w:cs="Times New Roman"/>
                <w:kern w:val="0"/>
                <w:sz w:val="24"/>
                <w:szCs w:val="24"/>
              </w:rPr>
            </w:pPr>
          </w:p>
        </w:tc>
        <w:tc>
          <w:tcPr>
            <w:tcW w:w="5387" w:type="dxa"/>
            <w:shd w:val="clear" w:color="auto" w:fill="auto"/>
            <w:vAlign w:val="center"/>
          </w:tcPr>
          <w:p w14:paraId="41BE97A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708" w:type="dxa"/>
            <w:vMerge w:val="continue"/>
            <w:vAlign w:val="center"/>
          </w:tcPr>
          <w:p w14:paraId="47CC02E2">
            <w:pPr>
              <w:widowControl/>
              <w:jc w:val="left"/>
              <w:rPr>
                <w:rFonts w:hint="eastAsia" w:ascii="宋体" w:hAnsi="宋体" w:eastAsia="宋体" w:cs="Times New Roman"/>
                <w:kern w:val="0"/>
                <w:sz w:val="24"/>
                <w:szCs w:val="24"/>
              </w:rPr>
            </w:pPr>
          </w:p>
        </w:tc>
        <w:tc>
          <w:tcPr>
            <w:tcW w:w="709" w:type="dxa"/>
            <w:vMerge w:val="continue"/>
            <w:vAlign w:val="center"/>
          </w:tcPr>
          <w:p w14:paraId="78977A8E">
            <w:pPr>
              <w:widowControl/>
              <w:jc w:val="left"/>
              <w:rPr>
                <w:rFonts w:hint="eastAsia" w:ascii="宋体" w:hAnsi="宋体" w:eastAsia="宋体" w:cs="Times New Roman"/>
                <w:kern w:val="0"/>
                <w:sz w:val="24"/>
                <w:szCs w:val="24"/>
              </w:rPr>
            </w:pPr>
          </w:p>
        </w:tc>
        <w:tc>
          <w:tcPr>
            <w:tcW w:w="709" w:type="dxa"/>
            <w:vMerge w:val="continue"/>
            <w:vAlign w:val="center"/>
          </w:tcPr>
          <w:p w14:paraId="66458D59">
            <w:pPr>
              <w:widowControl/>
              <w:jc w:val="left"/>
              <w:rPr>
                <w:rFonts w:hint="eastAsia" w:ascii="宋体" w:hAnsi="宋体" w:eastAsia="宋体" w:cs="Times New Roman"/>
                <w:kern w:val="0"/>
                <w:sz w:val="24"/>
                <w:szCs w:val="24"/>
              </w:rPr>
            </w:pPr>
          </w:p>
        </w:tc>
      </w:tr>
      <w:tr w14:paraId="659F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restart"/>
            <w:shd w:val="clear" w:color="auto" w:fill="auto"/>
            <w:noWrap/>
            <w:vAlign w:val="center"/>
          </w:tcPr>
          <w:p w14:paraId="3314A47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7</w:t>
            </w:r>
          </w:p>
        </w:tc>
        <w:tc>
          <w:tcPr>
            <w:tcW w:w="1275" w:type="dxa"/>
            <w:vMerge w:val="restart"/>
            <w:shd w:val="clear" w:color="auto" w:fill="auto"/>
            <w:vAlign w:val="center"/>
          </w:tcPr>
          <w:p w14:paraId="75F41C50">
            <w:pPr>
              <w:widowControl/>
              <w:jc w:val="center"/>
              <w:rPr>
                <w:rFonts w:hint="eastAsia"/>
                <w:color w:val="000000"/>
                <w:szCs w:val="21"/>
              </w:rPr>
            </w:pPr>
            <w:r>
              <w:rPr>
                <w:rFonts w:hint="eastAsia"/>
                <w:color w:val="000000"/>
                <w:szCs w:val="21"/>
              </w:rPr>
              <w:t>▲</w:t>
            </w:r>
          </w:p>
          <w:p w14:paraId="39F774C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OLT业务板卡</w:t>
            </w:r>
          </w:p>
        </w:tc>
        <w:tc>
          <w:tcPr>
            <w:tcW w:w="5387" w:type="dxa"/>
            <w:shd w:val="clear" w:color="auto" w:fill="auto"/>
            <w:vAlign w:val="center"/>
          </w:tcPr>
          <w:p w14:paraId="6547CB8F">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OLT设备，业务扩展板卡，支持12端口10G EPON口(满配对等模块)，8端口万兆光口</w:t>
            </w:r>
            <w:r>
              <w:rPr>
                <w:rFonts w:hint="eastAsia" w:ascii="宋体" w:hAnsi="宋体" w:eastAsia="宋体" w:cs="Times New Roman"/>
                <w:kern w:val="0"/>
                <w:sz w:val="24"/>
                <w:szCs w:val="24"/>
              </w:rPr>
              <w:t>（提供原厂五年免费质保承诺函）</w:t>
            </w:r>
          </w:p>
        </w:tc>
        <w:tc>
          <w:tcPr>
            <w:tcW w:w="708" w:type="dxa"/>
            <w:vMerge w:val="restart"/>
            <w:shd w:val="clear" w:color="auto" w:fill="auto"/>
            <w:noWrap/>
            <w:vAlign w:val="center"/>
          </w:tcPr>
          <w:p w14:paraId="0E5921E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709" w:type="dxa"/>
            <w:vMerge w:val="restart"/>
            <w:shd w:val="clear" w:color="auto" w:fill="auto"/>
            <w:noWrap/>
            <w:vAlign w:val="center"/>
          </w:tcPr>
          <w:p w14:paraId="0C76D63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套</w:t>
            </w:r>
          </w:p>
        </w:tc>
        <w:tc>
          <w:tcPr>
            <w:tcW w:w="709" w:type="dxa"/>
            <w:vMerge w:val="restart"/>
            <w:shd w:val="clear" w:color="auto" w:fill="auto"/>
            <w:vAlign w:val="center"/>
          </w:tcPr>
          <w:p w14:paraId="4605BFE5">
            <w:pPr>
              <w:widowControl/>
              <w:jc w:val="center"/>
              <w:rPr>
                <w:rFonts w:hint="eastAsia" w:ascii="宋体" w:hAnsi="宋体" w:eastAsia="宋体" w:cs="Times New Roman"/>
                <w:kern w:val="0"/>
                <w:sz w:val="24"/>
                <w:szCs w:val="24"/>
              </w:rPr>
            </w:pPr>
          </w:p>
        </w:tc>
      </w:tr>
      <w:tr w14:paraId="79B1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vAlign w:val="center"/>
          </w:tcPr>
          <w:p w14:paraId="366EAB30">
            <w:pPr>
              <w:widowControl/>
              <w:jc w:val="left"/>
              <w:rPr>
                <w:rFonts w:hint="eastAsia" w:ascii="宋体" w:hAnsi="宋体" w:eastAsia="宋体" w:cs="Times New Roman"/>
                <w:kern w:val="0"/>
                <w:sz w:val="24"/>
                <w:szCs w:val="24"/>
              </w:rPr>
            </w:pPr>
          </w:p>
        </w:tc>
        <w:tc>
          <w:tcPr>
            <w:tcW w:w="1275" w:type="dxa"/>
            <w:vMerge w:val="continue"/>
            <w:vAlign w:val="center"/>
          </w:tcPr>
          <w:p w14:paraId="4EAA3225">
            <w:pPr>
              <w:widowControl/>
              <w:jc w:val="left"/>
              <w:rPr>
                <w:rFonts w:hint="eastAsia" w:ascii="宋体" w:hAnsi="宋体" w:eastAsia="宋体" w:cs="Times New Roman"/>
                <w:kern w:val="0"/>
                <w:sz w:val="24"/>
                <w:szCs w:val="24"/>
              </w:rPr>
            </w:pPr>
          </w:p>
        </w:tc>
        <w:tc>
          <w:tcPr>
            <w:tcW w:w="5387" w:type="dxa"/>
            <w:shd w:val="clear" w:color="auto" w:fill="auto"/>
            <w:vAlign w:val="center"/>
          </w:tcPr>
          <w:p w14:paraId="725289E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708" w:type="dxa"/>
            <w:vMerge w:val="continue"/>
            <w:vAlign w:val="center"/>
          </w:tcPr>
          <w:p w14:paraId="63809823">
            <w:pPr>
              <w:widowControl/>
              <w:jc w:val="left"/>
              <w:rPr>
                <w:rFonts w:hint="eastAsia" w:ascii="宋体" w:hAnsi="宋体" w:eastAsia="宋体" w:cs="Times New Roman"/>
                <w:kern w:val="0"/>
                <w:sz w:val="24"/>
                <w:szCs w:val="24"/>
              </w:rPr>
            </w:pPr>
          </w:p>
        </w:tc>
        <w:tc>
          <w:tcPr>
            <w:tcW w:w="709" w:type="dxa"/>
            <w:vMerge w:val="continue"/>
            <w:vAlign w:val="center"/>
          </w:tcPr>
          <w:p w14:paraId="57596C6D">
            <w:pPr>
              <w:widowControl/>
              <w:jc w:val="left"/>
              <w:rPr>
                <w:rFonts w:hint="eastAsia" w:ascii="宋体" w:hAnsi="宋体" w:eastAsia="宋体" w:cs="Times New Roman"/>
                <w:kern w:val="0"/>
                <w:sz w:val="24"/>
                <w:szCs w:val="24"/>
              </w:rPr>
            </w:pPr>
          </w:p>
        </w:tc>
        <w:tc>
          <w:tcPr>
            <w:tcW w:w="709" w:type="dxa"/>
            <w:vMerge w:val="continue"/>
            <w:vAlign w:val="center"/>
          </w:tcPr>
          <w:p w14:paraId="1CA17927">
            <w:pPr>
              <w:widowControl/>
              <w:jc w:val="left"/>
              <w:rPr>
                <w:rFonts w:hint="eastAsia" w:ascii="宋体" w:hAnsi="宋体" w:eastAsia="宋体" w:cs="Times New Roman"/>
                <w:kern w:val="0"/>
                <w:sz w:val="24"/>
                <w:szCs w:val="24"/>
              </w:rPr>
            </w:pPr>
          </w:p>
        </w:tc>
      </w:tr>
      <w:tr w14:paraId="768E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shd w:val="clear" w:color="auto" w:fill="auto"/>
            <w:noWrap/>
            <w:vAlign w:val="center"/>
          </w:tcPr>
          <w:p w14:paraId="29C949C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8</w:t>
            </w:r>
          </w:p>
        </w:tc>
        <w:tc>
          <w:tcPr>
            <w:tcW w:w="1275" w:type="dxa"/>
            <w:shd w:val="clear" w:color="auto" w:fill="auto"/>
            <w:vAlign w:val="center"/>
          </w:tcPr>
          <w:p w14:paraId="2A2129E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2芯单模软铠装室内光缆</w:t>
            </w:r>
          </w:p>
        </w:tc>
        <w:tc>
          <w:tcPr>
            <w:tcW w:w="5387" w:type="dxa"/>
            <w:shd w:val="clear" w:color="auto" w:fill="auto"/>
            <w:vAlign w:val="center"/>
          </w:tcPr>
          <w:p w14:paraId="555109A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0.6mm着色紧包光纤x2芯；螺旋钢带铠装：外径2.1mm，单边壁厚:0.22mm； 光缆保护套：3.3mm±0.10mm，单边厚度：0.40mm；最大衰减：0.4dB/km@1310nm； 0.3dB/km@1550nm；工作稳温度：低烟无卤（LSZH） -40℃至+85℃；光缆外径：3.3mm±0.10mm</w:t>
            </w:r>
          </w:p>
        </w:tc>
        <w:tc>
          <w:tcPr>
            <w:tcW w:w="708" w:type="dxa"/>
            <w:shd w:val="clear" w:color="auto" w:fill="auto"/>
            <w:noWrap/>
            <w:vAlign w:val="center"/>
          </w:tcPr>
          <w:p w14:paraId="20EC7F9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3540</w:t>
            </w:r>
          </w:p>
        </w:tc>
        <w:tc>
          <w:tcPr>
            <w:tcW w:w="709" w:type="dxa"/>
            <w:shd w:val="clear" w:color="auto" w:fill="auto"/>
            <w:noWrap/>
            <w:vAlign w:val="center"/>
          </w:tcPr>
          <w:p w14:paraId="2BE6E27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709" w:type="dxa"/>
            <w:shd w:val="clear" w:color="auto" w:fill="auto"/>
            <w:noWrap/>
            <w:vAlign w:val="center"/>
          </w:tcPr>
          <w:p w14:paraId="538A2A85">
            <w:pPr>
              <w:widowControl/>
              <w:jc w:val="center"/>
              <w:rPr>
                <w:rFonts w:hint="eastAsia" w:ascii="宋体" w:hAnsi="宋体" w:eastAsia="宋体" w:cs="Times New Roman"/>
                <w:kern w:val="0"/>
                <w:sz w:val="24"/>
                <w:szCs w:val="24"/>
              </w:rPr>
            </w:pPr>
          </w:p>
        </w:tc>
      </w:tr>
      <w:tr w14:paraId="0FC7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27" w:type="dxa"/>
            <w:shd w:val="clear" w:color="auto" w:fill="auto"/>
            <w:noWrap/>
            <w:vAlign w:val="center"/>
          </w:tcPr>
          <w:p w14:paraId="44A9755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9</w:t>
            </w:r>
          </w:p>
        </w:tc>
        <w:tc>
          <w:tcPr>
            <w:tcW w:w="1275" w:type="dxa"/>
            <w:shd w:val="clear" w:color="auto" w:fill="auto"/>
            <w:vAlign w:val="center"/>
          </w:tcPr>
          <w:p w14:paraId="34084BF9">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12芯室外单模铠装光缆</w:t>
            </w:r>
          </w:p>
        </w:tc>
        <w:tc>
          <w:tcPr>
            <w:tcW w:w="5387" w:type="dxa"/>
            <w:shd w:val="clear" w:color="auto" w:fill="auto"/>
            <w:vAlign w:val="center"/>
          </w:tcPr>
          <w:p w14:paraId="3D576B78">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符合标准：YD/T901-2018 光纤衰减：@1310nm ≤0.36 dB/km，@1550nm ≤0.22 dB/km；光纤规格：B1.3（G652D）；包层不圆度：≤1％ 模场直径（MDF）：@1310nm 9.2±0.4μm；光纤折射率：@1310nm  1.466，@1550nm  1.467 铠装层：双面涂塑铝带+双面涂塑钢带 中心加强件： 磷化圆钢丝 静态/动态弯曲半径： 10D/20D 允许压扁力(长期/短期)（N/100mm）： 1000/3000 允许拉伸力(长期/短期)（N）：1000/3000 光缆芯数：12芯</w:t>
            </w:r>
          </w:p>
        </w:tc>
        <w:tc>
          <w:tcPr>
            <w:tcW w:w="708" w:type="dxa"/>
            <w:shd w:val="clear" w:color="auto" w:fill="auto"/>
            <w:noWrap/>
            <w:vAlign w:val="center"/>
          </w:tcPr>
          <w:p w14:paraId="5DC2B68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1050</w:t>
            </w:r>
          </w:p>
        </w:tc>
        <w:tc>
          <w:tcPr>
            <w:tcW w:w="709" w:type="dxa"/>
            <w:shd w:val="clear" w:color="auto" w:fill="auto"/>
            <w:noWrap/>
            <w:vAlign w:val="center"/>
          </w:tcPr>
          <w:p w14:paraId="11E1546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709" w:type="dxa"/>
            <w:shd w:val="clear" w:color="auto" w:fill="auto"/>
            <w:noWrap/>
            <w:vAlign w:val="center"/>
          </w:tcPr>
          <w:p w14:paraId="0C6EBFF8">
            <w:pPr>
              <w:widowControl/>
              <w:jc w:val="center"/>
              <w:rPr>
                <w:rFonts w:hint="eastAsia" w:ascii="宋体" w:hAnsi="宋体" w:eastAsia="宋体" w:cs="Times New Roman"/>
                <w:kern w:val="0"/>
                <w:sz w:val="24"/>
                <w:szCs w:val="24"/>
              </w:rPr>
            </w:pPr>
          </w:p>
        </w:tc>
      </w:tr>
      <w:tr w14:paraId="674A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shd w:val="clear" w:color="auto" w:fill="auto"/>
            <w:noWrap/>
            <w:vAlign w:val="center"/>
          </w:tcPr>
          <w:p w14:paraId="69D9D4A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w:t>
            </w:r>
          </w:p>
        </w:tc>
        <w:tc>
          <w:tcPr>
            <w:tcW w:w="1275" w:type="dxa"/>
            <w:shd w:val="clear" w:color="auto" w:fill="auto"/>
            <w:vAlign w:val="center"/>
          </w:tcPr>
          <w:p w14:paraId="64BFD52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六类网线</w:t>
            </w:r>
          </w:p>
        </w:tc>
        <w:tc>
          <w:tcPr>
            <w:tcW w:w="5387" w:type="dxa"/>
            <w:shd w:val="clear" w:color="auto" w:fill="auto"/>
            <w:vAlign w:val="center"/>
          </w:tcPr>
          <w:p w14:paraId="2E60DB6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国标非屏蔽网线；绝缘层：高密度聚乙烯（HDPE）厚度：0.2mm；外护套：聚氯乙烯（PVC）或低烟无卤聚烯烃（LSZH)厚度：0.55mm；线缆外径：6.3mm；最大电容：≤5.6nF/100m；特性阻抗: (f：1-250MHz)100±15Ω</w:t>
            </w:r>
          </w:p>
        </w:tc>
        <w:tc>
          <w:tcPr>
            <w:tcW w:w="708" w:type="dxa"/>
            <w:shd w:val="clear" w:color="auto" w:fill="auto"/>
            <w:noWrap/>
            <w:vAlign w:val="center"/>
          </w:tcPr>
          <w:p w14:paraId="54CE255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12</w:t>
            </w:r>
          </w:p>
        </w:tc>
        <w:tc>
          <w:tcPr>
            <w:tcW w:w="709" w:type="dxa"/>
            <w:shd w:val="clear" w:color="auto" w:fill="auto"/>
            <w:noWrap/>
            <w:vAlign w:val="center"/>
          </w:tcPr>
          <w:p w14:paraId="037C089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箱</w:t>
            </w:r>
          </w:p>
        </w:tc>
        <w:tc>
          <w:tcPr>
            <w:tcW w:w="709" w:type="dxa"/>
            <w:shd w:val="clear" w:color="auto" w:fill="auto"/>
            <w:noWrap/>
            <w:vAlign w:val="center"/>
          </w:tcPr>
          <w:p w14:paraId="4861B430">
            <w:pPr>
              <w:widowControl/>
              <w:jc w:val="center"/>
              <w:rPr>
                <w:rFonts w:hint="eastAsia" w:ascii="宋体" w:hAnsi="宋体" w:eastAsia="宋体" w:cs="Times New Roman"/>
                <w:kern w:val="0"/>
                <w:sz w:val="24"/>
                <w:szCs w:val="24"/>
              </w:rPr>
            </w:pPr>
          </w:p>
        </w:tc>
      </w:tr>
      <w:tr w14:paraId="2FEC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shd w:val="clear" w:color="auto" w:fill="auto"/>
            <w:noWrap/>
            <w:vAlign w:val="center"/>
          </w:tcPr>
          <w:p w14:paraId="2C26194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11</w:t>
            </w:r>
          </w:p>
        </w:tc>
        <w:tc>
          <w:tcPr>
            <w:tcW w:w="1275" w:type="dxa"/>
            <w:shd w:val="clear" w:color="auto" w:fill="auto"/>
            <w:vAlign w:val="center"/>
          </w:tcPr>
          <w:p w14:paraId="4CA490D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六类水晶头</w:t>
            </w:r>
          </w:p>
        </w:tc>
        <w:tc>
          <w:tcPr>
            <w:tcW w:w="5387" w:type="dxa"/>
            <w:shd w:val="clear" w:color="auto" w:fill="auto"/>
            <w:vAlign w:val="center"/>
          </w:tcPr>
          <w:p w14:paraId="605525A0">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塑塑胶壳：聚碳酸脂，UL-94-VO or UL-94-V2；金片：铜合金；导体：单股线26AWG；芯线直径：Φ96～Φ1.02均可适用；绝缘电阻≥100MΩ；耐力测试：至少150次之插拔测试</w:t>
            </w:r>
          </w:p>
        </w:tc>
        <w:tc>
          <w:tcPr>
            <w:tcW w:w="708" w:type="dxa"/>
            <w:shd w:val="clear" w:color="auto" w:fill="auto"/>
            <w:noWrap/>
            <w:vAlign w:val="center"/>
          </w:tcPr>
          <w:p w14:paraId="3D915AB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336</w:t>
            </w:r>
          </w:p>
        </w:tc>
        <w:tc>
          <w:tcPr>
            <w:tcW w:w="709" w:type="dxa"/>
            <w:shd w:val="clear" w:color="auto" w:fill="auto"/>
            <w:noWrap/>
            <w:vAlign w:val="center"/>
          </w:tcPr>
          <w:p w14:paraId="0C5123E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1FDB021A">
            <w:pPr>
              <w:widowControl/>
              <w:jc w:val="center"/>
              <w:rPr>
                <w:rFonts w:hint="eastAsia" w:ascii="宋体" w:hAnsi="宋体" w:eastAsia="宋体" w:cs="Times New Roman"/>
                <w:kern w:val="0"/>
                <w:sz w:val="24"/>
                <w:szCs w:val="24"/>
              </w:rPr>
            </w:pPr>
          </w:p>
        </w:tc>
      </w:tr>
      <w:tr w14:paraId="6D81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1B40F65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12</w:t>
            </w:r>
          </w:p>
        </w:tc>
        <w:tc>
          <w:tcPr>
            <w:tcW w:w="1275" w:type="dxa"/>
            <w:shd w:val="clear" w:color="auto" w:fill="auto"/>
            <w:vAlign w:val="center"/>
          </w:tcPr>
          <w:p w14:paraId="2637FC8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多媒体箱（单开门）</w:t>
            </w:r>
          </w:p>
        </w:tc>
        <w:tc>
          <w:tcPr>
            <w:tcW w:w="5387" w:type="dxa"/>
            <w:shd w:val="clear" w:color="auto" w:fill="auto"/>
            <w:vAlign w:val="center"/>
          </w:tcPr>
          <w:p w14:paraId="4CE0212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尺寸：≤370*420*110mm （高*宽*深）；钢板壁厚≥1.2mm,配置锁芯、插排、熔接等配件材料；采用优质钣金材质，表面静电喷涂，有较好的机械强度，外型美观大方，坚固耐用；箱体采用强、弱电分离的进线方式；箱体内配备背板，支持ONU设备端口向下壁挂安装于多媒体箱内部；箱体底部具备观察孔，无需开箱即可观察设备运行指示灯，实现快速维护；满足光纤弯曲半径大于30mm，具有安全可靠的光纤接续</w:t>
            </w:r>
          </w:p>
        </w:tc>
        <w:tc>
          <w:tcPr>
            <w:tcW w:w="708" w:type="dxa"/>
            <w:shd w:val="clear" w:color="auto" w:fill="auto"/>
            <w:noWrap/>
            <w:vAlign w:val="center"/>
          </w:tcPr>
          <w:p w14:paraId="4D64F25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23</w:t>
            </w:r>
          </w:p>
        </w:tc>
        <w:tc>
          <w:tcPr>
            <w:tcW w:w="709" w:type="dxa"/>
            <w:shd w:val="clear" w:color="auto" w:fill="auto"/>
            <w:noWrap/>
            <w:vAlign w:val="center"/>
          </w:tcPr>
          <w:p w14:paraId="34B2DD2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4CDA4B26">
            <w:pPr>
              <w:widowControl/>
              <w:jc w:val="center"/>
              <w:rPr>
                <w:rFonts w:hint="eastAsia" w:ascii="宋体" w:hAnsi="宋体" w:eastAsia="宋体" w:cs="Times New Roman"/>
                <w:kern w:val="0"/>
                <w:sz w:val="24"/>
                <w:szCs w:val="24"/>
              </w:rPr>
            </w:pPr>
          </w:p>
        </w:tc>
      </w:tr>
      <w:tr w14:paraId="3E5C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shd w:val="clear" w:color="auto" w:fill="auto"/>
            <w:noWrap/>
            <w:vAlign w:val="center"/>
          </w:tcPr>
          <w:p w14:paraId="2A054E0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13</w:t>
            </w:r>
          </w:p>
        </w:tc>
        <w:tc>
          <w:tcPr>
            <w:tcW w:w="1275" w:type="dxa"/>
            <w:shd w:val="clear" w:color="auto" w:fill="auto"/>
            <w:vAlign w:val="center"/>
          </w:tcPr>
          <w:p w14:paraId="289066E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2口熔接盒（SC口）</w:t>
            </w:r>
          </w:p>
        </w:tc>
        <w:tc>
          <w:tcPr>
            <w:tcW w:w="5387" w:type="dxa"/>
            <w:shd w:val="clear" w:color="auto" w:fill="auto"/>
            <w:vAlign w:val="center"/>
          </w:tcPr>
          <w:p w14:paraId="46C84A0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端口数：2口（SC口）；熔纤量：最大为2芯；尺寸：≤120*70*35mm(长宽厚)；材质：采用优质钣金，表面静电喷涂</w:t>
            </w:r>
          </w:p>
        </w:tc>
        <w:tc>
          <w:tcPr>
            <w:tcW w:w="708" w:type="dxa"/>
            <w:shd w:val="clear" w:color="auto" w:fill="auto"/>
            <w:noWrap/>
            <w:vAlign w:val="center"/>
          </w:tcPr>
          <w:p w14:paraId="0CCD3C39">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32</w:t>
            </w:r>
          </w:p>
        </w:tc>
        <w:tc>
          <w:tcPr>
            <w:tcW w:w="709" w:type="dxa"/>
            <w:shd w:val="clear" w:color="auto" w:fill="auto"/>
            <w:noWrap/>
            <w:vAlign w:val="center"/>
          </w:tcPr>
          <w:p w14:paraId="388C215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72E7B6C8">
            <w:pPr>
              <w:widowControl/>
              <w:jc w:val="center"/>
              <w:rPr>
                <w:rFonts w:hint="eastAsia" w:ascii="宋体" w:hAnsi="宋体" w:eastAsia="宋体" w:cs="Times New Roman"/>
                <w:kern w:val="0"/>
                <w:sz w:val="24"/>
                <w:szCs w:val="24"/>
              </w:rPr>
            </w:pPr>
          </w:p>
        </w:tc>
      </w:tr>
      <w:tr w14:paraId="4689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6CB7F55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w:t>
            </w:r>
          </w:p>
        </w:tc>
        <w:tc>
          <w:tcPr>
            <w:tcW w:w="1275" w:type="dxa"/>
            <w:shd w:val="clear" w:color="auto" w:fill="auto"/>
            <w:vAlign w:val="center"/>
          </w:tcPr>
          <w:p w14:paraId="684B3CD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SC法兰盘</w:t>
            </w:r>
          </w:p>
        </w:tc>
        <w:tc>
          <w:tcPr>
            <w:tcW w:w="5387" w:type="dxa"/>
            <w:shd w:val="clear" w:color="auto" w:fill="auto"/>
            <w:vAlign w:val="center"/>
          </w:tcPr>
          <w:p w14:paraId="29697C8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SC单模法兰盘；材料：陶瓷套管；插入损耗（含重复性）：≤0.2dB；重复性：≥500次；互换性：≤0.2dB</w:t>
            </w:r>
          </w:p>
        </w:tc>
        <w:tc>
          <w:tcPr>
            <w:tcW w:w="708" w:type="dxa"/>
            <w:shd w:val="clear" w:color="auto" w:fill="auto"/>
            <w:noWrap/>
            <w:vAlign w:val="center"/>
          </w:tcPr>
          <w:p w14:paraId="4EDB86B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176</w:t>
            </w:r>
          </w:p>
        </w:tc>
        <w:tc>
          <w:tcPr>
            <w:tcW w:w="709" w:type="dxa"/>
            <w:shd w:val="clear" w:color="auto" w:fill="auto"/>
            <w:noWrap/>
            <w:vAlign w:val="center"/>
          </w:tcPr>
          <w:p w14:paraId="56CBC00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619259BB">
            <w:pPr>
              <w:widowControl/>
              <w:jc w:val="center"/>
              <w:rPr>
                <w:rFonts w:hint="eastAsia" w:ascii="宋体" w:hAnsi="宋体" w:eastAsia="宋体" w:cs="Times New Roman"/>
                <w:kern w:val="0"/>
                <w:sz w:val="24"/>
                <w:szCs w:val="24"/>
              </w:rPr>
            </w:pPr>
          </w:p>
        </w:tc>
      </w:tr>
      <w:tr w14:paraId="50C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188C63A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15</w:t>
            </w:r>
          </w:p>
        </w:tc>
        <w:tc>
          <w:tcPr>
            <w:tcW w:w="1275" w:type="dxa"/>
            <w:shd w:val="clear" w:color="auto" w:fill="auto"/>
            <w:vAlign w:val="center"/>
          </w:tcPr>
          <w:p w14:paraId="5CD88C1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SC单芯尾纤</w:t>
            </w:r>
          </w:p>
        </w:tc>
        <w:tc>
          <w:tcPr>
            <w:tcW w:w="5387" w:type="dxa"/>
            <w:shd w:val="clear" w:color="auto" w:fill="auto"/>
            <w:vAlign w:val="center"/>
          </w:tcPr>
          <w:p w14:paraId="7A82F038">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SC单模单芯尾纤；依工业标准100%光学测试；低插入损耗，高回波损耗；重复插拔测试：≤0.25dB，每500次插拔</w:t>
            </w:r>
          </w:p>
        </w:tc>
        <w:tc>
          <w:tcPr>
            <w:tcW w:w="708" w:type="dxa"/>
            <w:shd w:val="clear" w:color="auto" w:fill="auto"/>
            <w:noWrap/>
            <w:vAlign w:val="center"/>
          </w:tcPr>
          <w:p w14:paraId="0C46987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176</w:t>
            </w:r>
          </w:p>
        </w:tc>
        <w:tc>
          <w:tcPr>
            <w:tcW w:w="709" w:type="dxa"/>
            <w:shd w:val="clear" w:color="auto" w:fill="auto"/>
            <w:noWrap/>
            <w:vAlign w:val="center"/>
          </w:tcPr>
          <w:p w14:paraId="0B5309E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709" w:type="dxa"/>
            <w:shd w:val="clear" w:color="auto" w:fill="auto"/>
            <w:noWrap/>
            <w:vAlign w:val="center"/>
          </w:tcPr>
          <w:p w14:paraId="0BAEECFC">
            <w:pPr>
              <w:widowControl/>
              <w:jc w:val="center"/>
              <w:rPr>
                <w:rFonts w:hint="eastAsia" w:ascii="宋体" w:hAnsi="宋体" w:eastAsia="宋体" w:cs="Times New Roman"/>
                <w:kern w:val="0"/>
                <w:sz w:val="24"/>
                <w:szCs w:val="24"/>
              </w:rPr>
            </w:pPr>
          </w:p>
        </w:tc>
      </w:tr>
      <w:tr w14:paraId="4600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5F2FF86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16</w:t>
            </w:r>
          </w:p>
        </w:tc>
        <w:tc>
          <w:tcPr>
            <w:tcW w:w="1275" w:type="dxa"/>
            <w:shd w:val="clear" w:color="auto" w:fill="auto"/>
            <w:vAlign w:val="center"/>
          </w:tcPr>
          <w:p w14:paraId="4E58B91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SC-SC-60公分-普通-单模光纤跳线</w:t>
            </w:r>
          </w:p>
        </w:tc>
        <w:tc>
          <w:tcPr>
            <w:tcW w:w="5387" w:type="dxa"/>
            <w:shd w:val="clear" w:color="auto" w:fill="auto"/>
            <w:vAlign w:val="center"/>
          </w:tcPr>
          <w:p w14:paraId="3CC294DB">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SC-SC-60公分单模；接头材料：陶瓷套管；重复插拔：≤0.2dB，每500次插拔；插入损耗：SM≤0.3dB，MM≤0.3dB；回波损耗：≥50dB</w:t>
            </w:r>
          </w:p>
        </w:tc>
        <w:tc>
          <w:tcPr>
            <w:tcW w:w="708" w:type="dxa"/>
            <w:shd w:val="clear" w:color="auto" w:fill="auto"/>
            <w:noWrap/>
            <w:vAlign w:val="center"/>
          </w:tcPr>
          <w:p w14:paraId="0FD5710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32</w:t>
            </w:r>
          </w:p>
        </w:tc>
        <w:tc>
          <w:tcPr>
            <w:tcW w:w="709" w:type="dxa"/>
            <w:shd w:val="clear" w:color="auto" w:fill="auto"/>
            <w:noWrap/>
            <w:vAlign w:val="center"/>
          </w:tcPr>
          <w:p w14:paraId="0A5EAAE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709" w:type="dxa"/>
            <w:shd w:val="clear" w:color="auto" w:fill="auto"/>
            <w:noWrap/>
            <w:vAlign w:val="center"/>
          </w:tcPr>
          <w:p w14:paraId="6CCE6B8D">
            <w:pPr>
              <w:widowControl/>
              <w:jc w:val="center"/>
              <w:rPr>
                <w:rFonts w:hint="eastAsia" w:ascii="宋体" w:hAnsi="宋体" w:eastAsia="宋体" w:cs="Times New Roman"/>
                <w:kern w:val="0"/>
                <w:sz w:val="24"/>
                <w:szCs w:val="24"/>
              </w:rPr>
            </w:pPr>
          </w:p>
        </w:tc>
      </w:tr>
      <w:tr w14:paraId="73B7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2EF8CD3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w:t>
            </w:r>
          </w:p>
        </w:tc>
        <w:tc>
          <w:tcPr>
            <w:tcW w:w="1275" w:type="dxa"/>
            <w:shd w:val="clear" w:color="auto" w:fill="auto"/>
            <w:vAlign w:val="center"/>
          </w:tcPr>
          <w:p w14:paraId="19E67E1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SC-SC-1米-可寻线-单模光纤跳线</w:t>
            </w:r>
          </w:p>
        </w:tc>
        <w:tc>
          <w:tcPr>
            <w:tcW w:w="5387" w:type="dxa"/>
            <w:shd w:val="clear" w:color="auto" w:fill="auto"/>
            <w:vAlign w:val="center"/>
          </w:tcPr>
          <w:p w14:paraId="3A812063">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SC-SC-1米单模；接头材料：陶瓷套管；重复插拔：≤0.2dB，每500次插拔；插入损耗：SM≤0.3dB，MM≤0.3dB；回波损耗：≥50dB。</w:t>
            </w:r>
          </w:p>
          <w:p w14:paraId="06C4477E">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708" w:type="dxa"/>
            <w:shd w:val="clear" w:color="auto" w:fill="auto"/>
            <w:noWrap/>
            <w:vAlign w:val="center"/>
          </w:tcPr>
          <w:p w14:paraId="32F751D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42</w:t>
            </w:r>
          </w:p>
        </w:tc>
        <w:tc>
          <w:tcPr>
            <w:tcW w:w="709" w:type="dxa"/>
            <w:shd w:val="clear" w:color="auto" w:fill="auto"/>
            <w:noWrap/>
            <w:vAlign w:val="center"/>
          </w:tcPr>
          <w:p w14:paraId="550C61C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709" w:type="dxa"/>
            <w:shd w:val="clear" w:color="auto" w:fill="auto"/>
            <w:noWrap/>
            <w:vAlign w:val="center"/>
          </w:tcPr>
          <w:p w14:paraId="570EF41E">
            <w:pPr>
              <w:widowControl/>
              <w:jc w:val="center"/>
              <w:rPr>
                <w:rFonts w:hint="eastAsia" w:ascii="宋体" w:hAnsi="宋体" w:eastAsia="宋体" w:cs="Times New Roman"/>
                <w:kern w:val="0"/>
                <w:sz w:val="24"/>
                <w:szCs w:val="24"/>
              </w:rPr>
            </w:pPr>
          </w:p>
        </w:tc>
      </w:tr>
      <w:tr w14:paraId="4D2A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73621C19">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18</w:t>
            </w:r>
          </w:p>
        </w:tc>
        <w:tc>
          <w:tcPr>
            <w:tcW w:w="1275" w:type="dxa"/>
            <w:shd w:val="clear" w:color="auto" w:fill="auto"/>
            <w:vAlign w:val="center"/>
          </w:tcPr>
          <w:p w14:paraId="15DCE24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SC-SC-3米-可寻线-单模光纤跳线</w:t>
            </w:r>
          </w:p>
        </w:tc>
        <w:tc>
          <w:tcPr>
            <w:tcW w:w="5387" w:type="dxa"/>
            <w:shd w:val="clear" w:color="auto" w:fill="auto"/>
            <w:vAlign w:val="center"/>
          </w:tcPr>
          <w:p w14:paraId="55E230C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SC-SC-3米单模；接头材料：陶瓷套管；重复插拔：≤0.2dB，每500次插拔；插入损耗：SM≤0.3dB，MM≤0.3dB；回波损耗：≥50dB。</w:t>
            </w:r>
          </w:p>
          <w:p w14:paraId="61766B2E">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708" w:type="dxa"/>
            <w:shd w:val="clear" w:color="auto" w:fill="auto"/>
            <w:noWrap/>
            <w:vAlign w:val="center"/>
          </w:tcPr>
          <w:p w14:paraId="16FAAD9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709" w:type="dxa"/>
            <w:shd w:val="clear" w:color="auto" w:fill="auto"/>
            <w:noWrap/>
            <w:vAlign w:val="center"/>
          </w:tcPr>
          <w:p w14:paraId="29E2203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709" w:type="dxa"/>
            <w:shd w:val="clear" w:color="auto" w:fill="auto"/>
            <w:noWrap/>
            <w:vAlign w:val="center"/>
          </w:tcPr>
          <w:p w14:paraId="62FADE2E">
            <w:pPr>
              <w:widowControl/>
              <w:jc w:val="center"/>
              <w:rPr>
                <w:rFonts w:hint="eastAsia" w:ascii="宋体" w:hAnsi="宋体" w:eastAsia="宋体" w:cs="Times New Roman"/>
                <w:kern w:val="0"/>
                <w:sz w:val="24"/>
                <w:szCs w:val="24"/>
              </w:rPr>
            </w:pPr>
          </w:p>
        </w:tc>
      </w:tr>
      <w:tr w14:paraId="1CCD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72E6B2C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19</w:t>
            </w:r>
          </w:p>
        </w:tc>
        <w:tc>
          <w:tcPr>
            <w:tcW w:w="1275" w:type="dxa"/>
            <w:shd w:val="clear" w:color="auto" w:fill="auto"/>
            <w:vAlign w:val="center"/>
          </w:tcPr>
          <w:p w14:paraId="17654A8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SC-SC-10米-可寻线-单模光纤跳线</w:t>
            </w:r>
          </w:p>
        </w:tc>
        <w:tc>
          <w:tcPr>
            <w:tcW w:w="5387" w:type="dxa"/>
            <w:shd w:val="clear" w:color="auto" w:fill="auto"/>
            <w:vAlign w:val="center"/>
          </w:tcPr>
          <w:p w14:paraId="23E89C1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SC-SC-10米单模；接头材料：陶瓷套管；重复插拔：≤0.2dB，每500次插拔；插入损耗：SM≤0.3dB，MM≤0.3dB；回波损耗：≥50dB。</w:t>
            </w:r>
          </w:p>
          <w:p w14:paraId="2DB82A85">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708" w:type="dxa"/>
            <w:shd w:val="clear" w:color="auto" w:fill="auto"/>
            <w:noWrap/>
            <w:vAlign w:val="center"/>
          </w:tcPr>
          <w:p w14:paraId="0D43EAD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709" w:type="dxa"/>
            <w:shd w:val="clear" w:color="auto" w:fill="auto"/>
            <w:noWrap/>
            <w:vAlign w:val="center"/>
          </w:tcPr>
          <w:p w14:paraId="0194E84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709" w:type="dxa"/>
            <w:shd w:val="clear" w:color="auto" w:fill="auto"/>
            <w:noWrap/>
            <w:vAlign w:val="center"/>
          </w:tcPr>
          <w:p w14:paraId="489F27FC">
            <w:pPr>
              <w:widowControl/>
              <w:jc w:val="center"/>
              <w:rPr>
                <w:rFonts w:hint="eastAsia" w:ascii="宋体" w:hAnsi="宋体" w:eastAsia="宋体" w:cs="Times New Roman"/>
                <w:kern w:val="0"/>
                <w:sz w:val="24"/>
                <w:szCs w:val="24"/>
              </w:rPr>
            </w:pPr>
          </w:p>
        </w:tc>
      </w:tr>
      <w:tr w14:paraId="107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1B57149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20</w:t>
            </w:r>
          </w:p>
        </w:tc>
        <w:tc>
          <w:tcPr>
            <w:tcW w:w="1275" w:type="dxa"/>
            <w:shd w:val="clear" w:color="auto" w:fill="auto"/>
            <w:vAlign w:val="center"/>
          </w:tcPr>
          <w:p w14:paraId="76BD495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2×4插片式分光器</w:t>
            </w:r>
          </w:p>
        </w:tc>
        <w:tc>
          <w:tcPr>
            <w:tcW w:w="5387" w:type="dxa"/>
            <w:shd w:val="clear" w:color="auto" w:fill="auto"/>
            <w:vAlign w:val="center"/>
          </w:tcPr>
          <w:p w14:paraId="56B40ED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光纤类型：单模G.652/G.657；接口类型：SC/UPC；插入损耗：≤8.3dB；损耗均匀度：≤1.2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708" w:type="dxa"/>
            <w:shd w:val="clear" w:color="auto" w:fill="auto"/>
            <w:noWrap/>
            <w:vAlign w:val="center"/>
          </w:tcPr>
          <w:p w14:paraId="54AAEFD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w:t>
            </w:r>
          </w:p>
        </w:tc>
        <w:tc>
          <w:tcPr>
            <w:tcW w:w="709" w:type="dxa"/>
            <w:shd w:val="clear" w:color="auto" w:fill="auto"/>
            <w:noWrap/>
            <w:vAlign w:val="center"/>
          </w:tcPr>
          <w:p w14:paraId="3CC0678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3C51282C">
            <w:pPr>
              <w:widowControl/>
              <w:jc w:val="center"/>
              <w:rPr>
                <w:rFonts w:hint="eastAsia" w:ascii="宋体" w:hAnsi="宋体" w:eastAsia="宋体" w:cs="Times New Roman"/>
                <w:kern w:val="0"/>
                <w:sz w:val="24"/>
                <w:szCs w:val="24"/>
              </w:rPr>
            </w:pPr>
          </w:p>
        </w:tc>
      </w:tr>
      <w:tr w14:paraId="686D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27" w:type="dxa"/>
            <w:shd w:val="clear" w:color="auto" w:fill="auto"/>
            <w:noWrap/>
            <w:vAlign w:val="center"/>
          </w:tcPr>
          <w:p w14:paraId="70D5D5B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21</w:t>
            </w:r>
          </w:p>
        </w:tc>
        <w:tc>
          <w:tcPr>
            <w:tcW w:w="1275" w:type="dxa"/>
            <w:shd w:val="clear" w:color="auto" w:fill="auto"/>
            <w:vAlign w:val="center"/>
          </w:tcPr>
          <w:p w14:paraId="5675F26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2×8插片式分光器</w:t>
            </w:r>
          </w:p>
        </w:tc>
        <w:tc>
          <w:tcPr>
            <w:tcW w:w="5387" w:type="dxa"/>
            <w:shd w:val="clear" w:color="auto" w:fill="auto"/>
            <w:vAlign w:val="center"/>
          </w:tcPr>
          <w:p w14:paraId="05E22B20">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光纤类型：单模G.652/G.657；接口类型：SC/UPC；插入损耗：≤11.2dB；损耗均匀度：≤1.5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708" w:type="dxa"/>
            <w:shd w:val="clear" w:color="auto" w:fill="auto"/>
            <w:noWrap/>
            <w:vAlign w:val="center"/>
          </w:tcPr>
          <w:p w14:paraId="509D10D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w:t>
            </w:r>
          </w:p>
        </w:tc>
        <w:tc>
          <w:tcPr>
            <w:tcW w:w="709" w:type="dxa"/>
            <w:shd w:val="clear" w:color="auto" w:fill="auto"/>
            <w:noWrap/>
            <w:vAlign w:val="center"/>
          </w:tcPr>
          <w:p w14:paraId="349BD40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59212AA4">
            <w:pPr>
              <w:widowControl/>
              <w:jc w:val="center"/>
              <w:rPr>
                <w:rFonts w:hint="eastAsia" w:ascii="宋体" w:hAnsi="宋体" w:eastAsia="宋体" w:cs="Times New Roman"/>
                <w:kern w:val="0"/>
                <w:sz w:val="24"/>
                <w:szCs w:val="24"/>
              </w:rPr>
            </w:pPr>
          </w:p>
        </w:tc>
      </w:tr>
      <w:tr w14:paraId="59DD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52C16F9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22</w:t>
            </w:r>
          </w:p>
        </w:tc>
        <w:tc>
          <w:tcPr>
            <w:tcW w:w="1275" w:type="dxa"/>
            <w:shd w:val="clear" w:color="auto" w:fill="auto"/>
            <w:vAlign w:val="center"/>
          </w:tcPr>
          <w:p w14:paraId="61E3A8A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明盒</w:t>
            </w:r>
          </w:p>
        </w:tc>
        <w:tc>
          <w:tcPr>
            <w:tcW w:w="5387" w:type="dxa"/>
            <w:shd w:val="clear" w:color="auto" w:fill="auto"/>
            <w:vAlign w:val="center"/>
          </w:tcPr>
          <w:p w14:paraId="75C93D7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86型明盒</w:t>
            </w:r>
          </w:p>
        </w:tc>
        <w:tc>
          <w:tcPr>
            <w:tcW w:w="708" w:type="dxa"/>
            <w:shd w:val="clear" w:color="auto" w:fill="auto"/>
            <w:noWrap/>
            <w:vAlign w:val="center"/>
          </w:tcPr>
          <w:p w14:paraId="44471C2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143</w:t>
            </w:r>
          </w:p>
        </w:tc>
        <w:tc>
          <w:tcPr>
            <w:tcW w:w="709" w:type="dxa"/>
            <w:shd w:val="clear" w:color="auto" w:fill="auto"/>
            <w:noWrap/>
            <w:vAlign w:val="center"/>
          </w:tcPr>
          <w:p w14:paraId="770FC0A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709" w:type="dxa"/>
            <w:shd w:val="clear" w:color="auto" w:fill="auto"/>
            <w:noWrap/>
            <w:vAlign w:val="center"/>
          </w:tcPr>
          <w:p w14:paraId="325DF718">
            <w:pPr>
              <w:widowControl/>
              <w:jc w:val="center"/>
              <w:rPr>
                <w:rFonts w:hint="eastAsia" w:ascii="宋体" w:hAnsi="宋体" w:eastAsia="宋体" w:cs="Times New Roman"/>
                <w:kern w:val="0"/>
                <w:sz w:val="24"/>
                <w:szCs w:val="24"/>
              </w:rPr>
            </w:pPr>
          </w:p>
        </w:tc>
      </w:tr>
      <w:tr w14:paraId="67D3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15BF11E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23</w:t>
            </w:r>
          </w:p>
        </w:tc>
        <w:tc>
          <w:tcPr>
            <w:tcW w:w="1275" w:type="dxa"/>
            <w:shd w:val="clear" w:color="auto" w:fill="auto"/>
            <w:vAlign w:val="center"/>
          </w:tcPr>
          <w:p w14:paraId="5E1E677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PVC管</w:t>
            </w:r>
          </w:p>
        </w:tc>
        <w:tc>
          <w:tcPr>
            <w:tcW w:w="5387" w:type="dxa"/>
            <w:shd w:val="clear" w:color="auto" w:fill="auto"/>
            <w:vAlign w:val="center"/>
          </w:tcPr>
          <w:p w14:paraId="4F7421F0">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直径25PVC管</w:t>
            </w:r>
          </w:p>
        </w:tc>
        <w:tc>
          <w:tcPr>
            <w:tcW w:w="708" w:type="dxa"/>
            <w:shd w:val="clear" w:color="auto" w:fill="auto"/>
            <w:noWrap/>
            <w:vAlign w:val="center"/>
          </w:tcPr>
          <w:p w14:paraId="3546C8A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700</w:t>
            </w:r>
          </w:p>
        </w:tc>
        <w:tc>
          <w:tcPr>
            <w:tcW w:w="709" w:type="dxa"/>
            <w:shd w:val="clear" w:color="auto" w:fill="auto"/>
            <w:noWrap/>
            <w:vAlign w:val="center"/>
          </w:tcPr>
          <w:p w14:paraId="778BBD8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709" w:type="dxa"/>
            <w:shd w:val="clear" w:color="auto" w:fill="auto"/>
            <w:noWrap/>
            <w:vAlign w:val="center"/>
          </w:tcPr>
          <w:p w14:paraId="46F2B33E">
            <w:pPr>
              <w:widowControl/>
              <w:jc w:val="center"/>
              <w:rPr>
                <w:rFonts w:hint="eastAsia" w:ascii="宋体" w:hAnsi="宋体" w:eastAsia="宋体" w:cs="Times New Roman"/>
                <w:kern w:val="0"/>
                <w:sz w:val="24"/>
                <w:szCs w:val="24"/>
              </w:rPr>
            </w:pPr>
          </w:p>
        </w:tc>
      </w:tr>
      <w:tr w14:paraId="0605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2B2DA0B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24</w:t>
            </w:r>
          </w:p>
        </w:tc>
        <w:tc>
          <w:tcPr>
            <w:tcW w:w="1275" w:type="dxa"/>
            <w:shd w:val="clear" w:color="auto" w:fill="auto"/>
            <w:vAlign w:val="center"/>
          </w:tcPr>
          <w:p w14:paraId="107B6E1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电源线</w:t>
            </w:r>
          </w:p>
        </w:tc>
        <w:tc>
          <w:tcPr>
            <w:tcW w:w="5387" w:type="dxa"/>
            <w:shd w:val="clear" w:color="auto" w:fill="auto"/>
            <w:vAlign w:val="center"/>
          </w:tcPr>
          <w:p w14:paraId="6A3C1C0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RVV3*1.0</w:t>
            </w:r>
          </w:p>
        </w:tc>
        <w:tc>
          <w:tcPr>
            <w:tcW w:w="708" w:type="dxa"/>
            <w:shd w:val="clear" w:color="auto" w:fill="auto"/>
            <w:noWrap/>
            <w:vAlign w:val="center"/>
          </w:tcPr>
          <w:p w14:paraId="1F0B71E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1030</w:t>
            </w:r>
          </w:p>
        </w:tc>
        <w:tc>
          <w:tcPr>
            <w:tcW w:w="709" w:type="dxa"/>
            <w:shd w:val="clear" w:color="auto" w:fill="auto"/>
            <w:noWrap/>
            <w:vAlign w:val="center"/>
          </w:tcPr>
          <w:p w14:paraId="151CE04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709" w:type="dxa"/>
            <w:shd w:val="clear" w:color="auto" w:fill="auto"/>
            <w:noWrap/>
            <w:vAlign w:val="center"/>
          </w:tcPr>
          <w:p w14:paraId="0FD55406">
            <w:pPr>
              <w:widowControl/>
              <w:jc w:val="center"/>
              <w:rPr>
                <w:rFonts w:hint="eastAsia" w:ascii="宋体" w:hAnsi="宋体" w:eastAsia="宋体" w:cs="Times New Roman"/>
                <w:kern w:val="0"/>
                <w:sz w:val="24"/>
                <w:szCs w:val="24"/>
              </w:rPr>
            </w:pPr>
          </w:p>
        </w:tc>
      </w:tr>
      <w:tr w14:paraId="06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shd w:val="clear" w:color="auto" w:fill="auto"/>
            <w:noWrap/>
            <w:vAlign w:val="center"/>
          </w:tcPr>
          <w:p w14:paraId="0C0AB65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25</w:t>
            </w:r>
          </w:p>
        </w:tc>
        <w:tc>
          <w:tcPr>
            <w:tcW w:w="1275" w:type="dxa"/>
            <w:shd w:val="clear" w:color="auto" w:fill="auto"/>
            <w:vAlign w:val="center"/>
          </w:tcPr>
          <w:p w14:paraId="1201202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施工费</w:t>
            </w:r>
          </w:p>
        </w:tc>
        <w:tc>
          <w:tcPr>
            <w:tcW w:w="5387" w:type="dxa"/>
            <w:shd w:val="clear" w:color="auto" w:fill="auto"/>
            <w:vAlign w:val="center"/>
          </w:tcPr>
          <w:p w14:paraId="503AA8F8">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包括2芯室内软铠光缆施工，室外光缆施工，内其他应用点位布线施工，AP设备安装，多媒体箱安装，壁挂箱安装，房间内强电箱至多媒体箱的强电施工，多媒体箱暗埋所需要的打洞开槽，开沟室外光纤铺设所需要的挖槽及恢复，所有涉及的光纤熔接施工及技术服务费用等</w:t>
            </w:r>
          </w:p>
        </w:tc>
        <w:tc>
          <w:tcPr>
            <w:tcW w:w="708" w:type="dxa"/>
            <w:shd w:val="clear" w:color="auto" w:fill="auto"/>
            <w:noWrap/>
            <w:vAlign w:val="center"/>
          </w:tcPr>
          <w:p w14:paraId="75710C2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709" w:type="dxa"/>
            <w:shd w:val="clear" w:color="auto" w:fill="auto"/>
            <w:noWrap/>
            <w:vAlign w:val="center"/>
          </w:tcPr>
          <w:p w14:paraId="0CEC411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项</w:t>
            </w:r>
          </w:p>
        </w:tc>
        <w:tc>
          <w:tcPr>
            <w:tcW w:w="709" w:type="dxa"/>
            <w:shd w:val="clear" w:color="auto" w:fill="auto"/>
            <w:noWrap/>
            <w:vAlign w:val="center"/>
          </w:tcPr>
          <w:p w14:paraId="5E8A9C46">
            <w:pPr>
              <w:widowControl/>
              <w:jc w:val="center"/>
              <w:rPr>
                <w:rFonts w:hint="eastAsia" w:ascii="宋体" w:hAnsi="宋体" w:eastAsia="宋体" w:cs="Times New Roman"/>
                <w:kern w:val="0"/>
                <w:sz w:val="24"/>
                <w:szCs w:val="24"/>
              </w:rPr>
            </w:pPr>
          </w:p>
        </w:tc>
      </w:tr>
    </w:tbl>
    <w:p w14:paraId="64BE803C">
      <w:pPr>
        <w:spacing w:line="360" w:lineRule="auto"/>
        <w:rPr>
          <w:rFonts w:hint="eastAsia" w:ascii="宋体" w:hAnsi="宋体" w:eastAsia="宋体"/>
          <w:sz w:val="24"/>
          <w:szCs w:val="28"/>
        </w:rPr>
      </w:pPr>
    </w:p>
    <w:p w14:paraId="7A808718">
      <w:pPr>
        <w:spacing w:line="360" w:lineRule="auto"/>
        <w:rPr>
          <w:rFonts w:hint="eastAsia" w:ascii="宋体" w:hAnsi="宋体" w:eastAsia="宋体"/>
          <w:b/>
          <w:bCs/>
          <w:sz w:val="24"/>
          <w:szCs w:val="28"/>
        </w:rPr>
      </w:pPr>
      <w:r>
        <w:rPr>
          <w:rFonts w:hint="eastAsia" w:ascii="宋体" w:hAnsi="宋体" w:eastAsia="宋体"/>
          <w:b/>
          <w:bCs/>
          <w:sz w:val="24"/>
          <w:szCs w:val="28"/>
        </w:rPr>
        <w:t>四、安装及其他要求</w:t>
      </w:r>
    </w:p>
    <w:p w14:paraId="6191D3EC">
      <w:pPr>
        <w:spacing w:line="360" w:lineRule="auto"/>
        <w:ind w:firstLine="480"/>
        <w:rPr>
          <w:rFonts w:hint="eastAsia" w:ascii="宋体" w:hAnsi="宋体" w:eastAsia="宋体"/>
          <w:sz w:val="24"/>
          <w:szCs w:val="28"/>
        </w:rPr>
      </w:pPr>
      <w:r>
        <w:rPr>
          <w:rFonts w:hint="eastAsia" w:ascii="宋体" w:hAnsi="宋体" w:eastAsia="宋体"/>
          <w:sz w:val="24"/>
          <w:szCs w:val="28"/>
        </w:rPr>
        <w:t>（一）安装要求</w:t>
      </w:r>
    </w:p>
    <w:p w14:paraId="327C0038">
      <w:pPr>
        <w:spacing w:line="360" w:lineRule="auto"/>
        <w:ind w:firstLine="480"/>
        <w:rPr>
          <w:rFonts w:hint="eastAsia" w:ascii="宋体" w:hAnsi="宋体" w:eastAsia="宋体"/>
          <w:sz w:val="24"/>
          <w:szCs w:val="28"/>
        </w:rPr>
      </w:pPr>
      <w:r>
        <w:rPr>
          <w:rFonts w:hint="eastAsia" w:ascii="宋体" w:hAnsi="宋体" w:eastAsia="宋体"/>
          <w:sz w:val="24"/>
          <w:szCs w:val="28"/>
        </w:rPr>
        <w:t>供应商须提供专业的设备安装服务，包括设备的通信组网、调试及开通。本项目在交付过程中，要求成交供应商提供所有无线客户接入端点位深化设计并出具点位图纸，提交用户方认可后方可进场，具体要求如下：</w:t>
      </w:r>
    </w:p>
    <w:p w14:paraId="5A212501">
      <w:pPr>
        <w:spacing w:line="360" w:lineRule="auto"/>
        <w:ind w:firstLine="480"/>
        <w:rPr>
          <w:rFonts w:hint="eastAsia" w:ascii="宋体" w:hAnsi="宋体" w:eastAsia="宋体"/>
          <w:sz w:val="24"/>
          <w:szCs w:val="28"/>
        </w:rPr>
      </w:pPr>
      <w:r>
        <w:rPr>
          <w:rFonts w:hint="eastAsia" w:ascii="宋体" w:hAnsi="宋体" w:eastAsia="宋体"/>
          <w:sz w:val="24"/>
          <w:szCs w:val="28"/>
        </w:rPr>
        <w:t>1、本次项目采用POL（无源光局域网）的无线承载网技术；网络整体采用二层扁平化架构，核心层采用现网OLT设备，光纤汇聚层采用光纤壁挂箱。</w:t>
      </w:r>
    </w:p>
    <w:p w14:paraId="44958E33">
      <w:pPr>
        <w:spacing w:line="360" w:lineRule="auto"/>
        <w:ind w:firstLine="480"/>
        <w:rPr>
          <w:rFonts w:hint="eastAsia" w:ascii="宋体" w:hAnsi="宋体" w:eastAsia="宋体"/>
          <w:sz w:val="24"/>
          <w:szCs w:val="28"/>
        </w:rPr>
      </w:pPr>
      <w:r>
        <w:rPr>
          <w:rFonts w:hint="eastAsia" w:ascii="宋体" w:hAnsi="宋体" w:eastAsia="宋体"/>
          <w:sz w:val="24"/>
          <w:szCs w:val="28"/>
        </w:rPr>
        <w:t>2、承载网的ONU除教室以外的公共办公场景采用FTTB（光纤入过道）的方式进行部署，具体要求如下：</w:t>
      </w:r>
    </w:p>
    <w:p w14:paraId="387D1784">
      <w:pPr>
        <w:spacing w:line="360" w:lineRule="auto"/>
        <w:ind w:firstLine="480"/>
        <w:rPr>
          <w:rFonts w:hint="eastAsia" w:ascii="宋体" w:hAnsi="宋体" w:eastAsia="宋体"/>
          <w:sz w:val="24"/>
          <w:szCs w:val="28"/>
        </w:rPr>
      </w:pPr>
      <w:r>
        <w:rPr>
          <w:rFonts w:hint="eastAsia" w:ascii="宋体" w:hAnsi="宋体" w:eastAsia="宋体"/>
          <w:sz w:val="24"/>
          <w:szCs w:val="28"/>
        </w:rPr>
        <w:t>（1）采用</w:t>
      </w:r>
      <w:r>
        <w:rPr>
          <w:rFonts w:ascii="宋体" w:hAnsi="宋体" w:eastAsia="宋体"/>
          <w:sz w:val="24"/>
          <w:szCs w:val="28"/>
        </w:rPr>
        <w:t>8</w:t>
      </w:r>
      <w:r>
        <w:rPr>
          <w:rFonts w:hint="eastAsia" w:ascii="宋体" w:hAnsi="宋体" w:eastAsia="宋体"/>
          <w:sz w:val="24"/>
          <w:szCs w:val="28"/>
        </w:rPr>
        <w:t>口ONU设备作为承载网设备。</w:t>
      </w:r>
    </w:p>
    <w:p w14:paraId="31FBE664">
      <w:pPr>
        <w:spacing w:line="360" w:lineRule="auto"/>
        <w:ind w:firstLine="480"/>
        <w:rPr>
          <w:rFonts w:hint="eastAsia" w:ascii="宋体" w:hAnsi="宋体" w:eastAsia="宋体"/>
          <w:sz w:val="24"/>
          <w:szCs w:val="28"/>
        </w:rPr>
      </w:pPr>
      <w:r>
        <w:rPr>
          <w:rFonts w:hint="eastAsia" w:ascii="宋体" w:hAnsi="宋体" w:eastAsia="宋体"/>
          <w:sz w:val="24"/>
          <w:szCs w:val="28"/>
        </w:rPr>
        <w:t>（2）ONU设备安装于多媒体箱内，箱体部署在过道内。</w:t>
      </w:r>
    </w:p>
    <w:p w14:paraId="27C25017">
      <w:pPr>
        <w:spacing w:line="360" w:lineRule="auto"/>
        <w:ind w:firstLine="480"/>
        <w:rPr>
          <w:rFonts w:hint="eastAsia" w:ascii="宋体" w:hAnsi="宋体" w:eastAsia="宋体"/>
          <w:sz w:val="24"/>
          <w:szCs w:val="28"/>
        </w:rPr>
      </w:pPr>
      <w:r>
        <w:rPr>
          <w:rFonts w:hint="eastAsia" w:ascii="宋体" w:hAnsi="宋体" w:eastAsia="宋体"/>
          <w:sz w:val="24"/>
          <w:szCs w:val="28"/>
        </w:rPr>
        <w:t>（3）每多媒体箱箱内，部署2芯铠装软光纤，为设备提供上联接入，光纤汇聚至楼宇现有光纤汇聚箱内。</w:t>
      </w:r>
    </w:p>
    <w:p w14:paraId="648739F3">
      <w:pPr>
        <w:spacing w:line="360" w:lineRule="auto"/>
        <w:ind w:firstLine="480"/>
        <w:rPr>
          <w:rFonts w:hint="eastAsia" w:ascii="宋体" w:hAnsi="宋体" w:eastAsia="宋体"/>
          <w:sz w:val="24"/>
          <w:szCs w:val="28"/>
        </w:rPr>
      </w:pPr>
      <w:r>
        <w:rPr>
          <w:rFonts w:hint="eastAsia" w:ascii="宋体" w:hAnsi="宋体" w:eastAsia="宋体"/>
          <w:sz w:val="24"/>
          <w:szCs w:val="28"/>
        </w:rPr>
        <w:t>（4）每多媒体箱中布放一个电源，电源线缆汇聚到强电间内，用单独的空开控制整栋楼宇多媒体箱。</w:t>
      </w:r>
    </w:p>
    <w:p w14:paraId="32C716F0">
      <w:pPr>
        <w:spacing w:line="360" w:lineRule="auto"/>
        <w:ind w:firstLine="480"/>
        <w:rPr>
          <w:rFonts w:hint="eastAsia" w:ascii="宋体" w:hAnsi="宋体" w:eastAsia="宋体"/>
          <w:sz w:val="24"/>
          <w:szCs w:val="28"/>
        </w:rPr>
      </w:pPr>
      <w:r>
        <w:rPr>
          <w:rFonts w:ascii="宋体" w:hAnsi="宋体" w:eastAsia="宋体"/>
          <w:sz w:val="24"/>
          <w:szCs w:val="28"/>
        </w:rPr>
        <w:t>3</w:t>
      </w:r>
      <w:r>
        <w:rPr>
          <w:rFonts w:hint="eastAsia" w:ascii="宋体" w:hAnsi="宋体" w:eastAsia="宋体"/>
          <w:sz w:val="24"/>
          <w:szCs w:val="28"/>
        </w:rPr>
        <w:t>、承载网的ONU教室场景采用FTTH（光纤入户）的方式进行部署，具体要求如下：</w:t>
      </w:r>
    </w:p>
    <w:p w14:paraId="1AC7D21A">
      <w:pPr>
        <w:spacing w:line="360" w:lineRule="auto"/>
        <w:ind w:firstLine="480"/>
        <w:rPr>
          <w:rFonts w:hint="eastAsia" w:ascii="宋体" w:hAnsi="宋体" w:eastAsia="宋体"/>
          <w:sz w:val="24"/>
          <w:szCs w:val="28"/>
        </w:rPr>
      </w:pPr>
      <w:r>
        <w:rPr>
          <w:rFonts w:hint="eastAsia" w:ascii="宋体" w:hAnsi="宋体" w:eastAsia="宋体"/>
          <w:sz w:val="24"/>
          <w:szCs w:val="28"/>
        </w:rPr>
        <w:t>（1）采用</w:t>
      </w:r>
      <w:r>
        <w:rPr>
          <w:rFonts w:ascii="宋体" w:hAnsi="宋体" w:eastAsia="宋体"/>
          <w:sz w:val="24"/>
          <w:szCs w:val="28"/>
        </w:rPr>
        <w:t>8</w:t>
      </w:r>
      <w:r>
        <w:rPr>
          <w:rFonts w:hint="eastAsia" w:ascii="宋体" w:hAnsi="宋体" w:eastAsia="宋体"/>
          <w:sz w:val="24"/>
          <w:szCs w:val="28"/>
        </w:rPr>
        <w:t>口ONU设备作为承载网设备。</w:t>
      </w:r>
    </w:p>
    <w:p w14:paraId="7ED3EBE9">
      <w:pPr>
        <w:spacing w:line="360" w:lineRule="auto"/>
        <w:ind w:firstLine="480"/>
        <w:rPr>
          <w:rFonts w:hint="eastAsia" w:ascii="宋体" w:hAnsi="宋体" w:eastAsia="宋体"/>
          <w:sz w:val="24"/>
          <w:szCs w:val="28"/>
        </w:rPr>
      </w:pPr>
      <w:r>
        <w:rPr>
          <w:rFonts w:hint="eastAsia" w:ascii="宋体" w:hAnsi="宋体" w:eastAsia="宋体"/>
          <w:sz w:val="24"/>
          <w:szCs w:val="28"/>
        </w:rPr>
        <w:t>（2）ONU设备安装于多媒体箱内，箱体部署在教室前墙。</w:t>
      </w:r>
    </w:p>
    <w:p w14:paraId="230E39E4">
      <w:pPr>
        <w:spacing w:line="360" w:lineRule="auto"/>
        <w:ind w:firstLine="480"/>
        <w:rPr>
          <w:rFonts w:hint="eastAsia" w:ascii="宋体" w:hAnsi="宋体" w:eastAsia="宋体"/>
          <w:sz w:val="24"/>
          <w:szCs w:val="28"/>
        </w:rPr>
      </w:pPr>
      <w:r>
        <w:rPr>
          <w:rFonts w:hint="eastAsia" w:ascii="宋体" w:hAnsi="宋体" w:eastAsia="宋体"/>
          <w:sz w:val="24"/>
          <w:szCs w:val="28"/>
        </w:rPr>
        <w:t>（3）每多媒体箱箱内，部署2芯铠装软光纤，为设备提供上联接入，光纤汇聚至楼宇现有光纤汇聚箱内。</w:t>
      </w:r>
    </w:p>
    <w:p w14:paraId="73CF9733">
      <w:pPr>
        <w:spacing w:line="360" w:lineRule="auto"/>
        <w:ind w:firstLine="480"/>
        <w:rPr>
          <w:rFonts w:hint="eastAsia" w:ascii="宋体" w:hAnsi="宋体" w:eastAsia="宋体"/>
          <w:sz w:val="24"/>
          <w:szCs w:val="28"/>
        </w:rPr>
      </w:pPr>
      <w:r>
        <w:rPr>
          <w:rFonts w:hint="eastAsia" w:ascii="宋体" w:hAnsi="宋体" w:eastAsia="宋体"/>
          <w:sz w:val="24"/>
          <w:szCs w:val="28"/>
        </w:rPr>
        <w:t>（4）每多媒体箱中布放一个电源，电源线缆汇聚到强电间内，用单独的空开控制整栋楼宇多媒体箱。</w:t>
      </w:r>
    </w:p>
    <w:p w14:paraId="7DE86248">
      <w:pPr>
        <w:spacing w:line="360" w:lineRule="auto"/>
        <w:ind w:firstLine="480"/>
        <w:rPr>
          <w:rFonts w:hint="eastAsia" w:ascii="宋体" w:hAnsi="宋体" w:eastAsia="宋体"/>
          <w:sz w:val="24"/>
          <w:szCs w:val="28"/>
        </w:rPr>
      </w:pPr>
      <w:r>
        <w:rPr>
          <w:rFonts w:ascii="宋体" w:hAnsi="宋体" w:eastAsia="宋体"/>
          <w:sz w:val="24"/>
          <w:szCs w:val="28"/>
        </w:rPr>
        <w:t>4</w:t>
      </w:r>
      <w:r>
        <w:rPr>
          <w:rFonts w:hint="eastAsia" w:ascii="宋体" w:hAnsi="宋体" w:eastAsia="宋体"/>
          <w:sz w:val="24"/>
          <w:szCs w:val="28"/>
        </w:rPr>
        <w:t>、本次根据环境大小使用面板或高密AP提供无线覆盖，具体要求如下：</w:t>
      </w:r>
    </w:p>
    <w:p w14:paraId="570F4D94">
      <w:pPr>
        <w:spacing w:line="360" w:lineRule="auto"/>
        <w:ind w:firstLine="480"/>
        <w:rPr>
          <w:rFonts w:hint="eastAsia" w:ascii="宋体" w:hAnsi="宋体" w:eastAsia="宋体"/>
          <w:sz w:val="24"/>
          <w:szCs w:val="28"/>
        </w:rPr>
      </w:pPr>
      <w:r>
        <w:rPr>
          <w:rFonts w:hint="eastAsia" w:ascii="宋体" w:hAnsi="宋体" w:eastAsia="宋体"/>
          <w:sz w:val="24"/>
          <w:szCs w:val="28"/>
        </w:rPr>
        <w:t>（1）每房间入户部署无线AP。</w:t>
      </w:r>
    </w:p>
    <w:p w14:paraId="0120167D">
      <w:pPr>
        <w:spacing w:line="360" w:lineRule="auto"/>
        <w:ind w:firstLine="480"/>
        <w:rPr>
          <w:rFonts w:hint="eastAsia" w:ascii="宋体" w:hAnsi="宋体" w:eastAsia="宋体"/>
          <w:sz w:val="24"/>
          <w:szCs w:val="28"/>
        </w:rPr>
      </w:pPr>
      <w:r>
        <w:rPr>
          <w:rFonts w:hint="eastAsia" w:ascii="宋体" w:hAnsi="宋体" w:eastAsia="宋体"/>
          <w:sz w:val="24"/>
          <w:szCs w:val="28"/>
        </w:rPr>
        <w:t>（2）面板型无线AP布放在进门门头位置，高密无线AP（甲供）依据环境部署，充分保证无线信号无遮挡。</w:t>
      </w:r>
    </w:p>
    <w:p w14:paraId="470B6638">
      <w:pPr>
        <w:spacing w:line="360" w:lineRule="auto"/>
        <w:ind w:firstLine="480"/>
        <w:rPr>
          <w:rFonts w:hint="eastAsia" w:ascii="宋体" w:hAnsi="宋体" w:eastAsia="宋体"/>
          <w:sz w:val="24"/>
          <w:szCs w:val="28"/>
        </w:rPr>
      </w:pPr>
      <w:r>
        <w:rPr>
          <w:rFonts w:hint="eastAsia" w:ascii="宋体" w:hAnsi="宋体" w:eastAsia="宋体"/>
          <w:sz w:val="24"/>
          <w:szCs w:val="28"/>
        </w:rPr>
        <w:t>（3）房间内5G高速率信号覆盖，走廊通过房间内的AP实现2.4G信号覆盖，提高用户使用体验。</w:t>
      </w:r>
    </w:p>
    <w:p w14:paraId="1B5D3DA7">
      <w:pPr>
        <w:spacing w:line="360" w:lineRule="auto"/>
        <w:ind w:firstLine="480"/>
        <w:rPr>
          <w:rFonts w:hint="eastAsia" w:ascii="宋体" w:hAnsi="宋体" w:eastAsia="宋体"/>
          <w:sz w:val="24"/>
          <w:szCs w:val="28"/>
        </w:rPr>
      </w:pPr>
      <w:r>
        <w:rPr>
          <w:rFonts w:hint="eastAsia" w:ascii="宋体" w:hAnsi="宋体" w:eastAsia="宋体"/>
          <w:sz w:val="24"/>
          <w:szCs w:val="28"/>
        </w:rPr>
        <w:t>（4）本次建设无线覆盖区域实现无缝漫游。</w:t>
      </w:r>
    </w:p>
    <w:p w14:paraId="6312DD4C">
      <w:pPr>
        <w:spacing w:line="360" w:lineRule="auto"/>
        <w:ind w:firstLine="480"/>
        <w:rPr>
          <w:rFonts w:hint="eastAsia" w:ascii="宋体" w:hAnsi="宋体" w:eastAsia="宋体"/>
          <w:sz w:val="24"/>
          <w:szCs w:val="28"/>
        </w:rPr>
      </w:pPr>
      <w:r>
        <w:rPr>
          <w:rFonts w:ascii="宋体" w:hAnsi="宋体" w:eastAsia="宋体"/>
          <w:sz w:val="24"/>
          <w:szCs w:val="28"/>
        </w:rPr>
        <w:t>5</w:t>
      </w:r>
      <w:r>
        <w:rPr>
          <w:rFonts w:hint="eastAsia" w:ascii="宋体" w:hAnsi="宋体" w:eastAsia="宋体"/>
          <w:sz w:val="24"/>
          <w:szCs w:val="28"/>
        </w:rPr>
        <w:t>、本项目核心机房内光纤跳线等线缆，均使用可寻线类型的跳线，无需单独对线缆张贴纸质标签，但需提供核心机房内本次项目所建设设备的互联拓扑及互联描述文档。</w:t>
      </w:r>
    </w:p>
    <w:p w14:paraId="65C09E33">
      <w:pPr>
        <w:spacing w:line="360" w:lineRule="auto"/>
        <w:ind w:firstLine="480"/>
        <w:rPr>
          <w:rFonts w:hint="eastAsia" w:ascii="宋体" w:hAnsi="宋体" w:eastAsia="宋体"/>
          <w:sz w:val="24"/>
          <w:szCs w:val="28"/>
        </w:rPr>
      </w:pPr>
      <w:r>
        <w:rPr>
          <w:rFonts w:ascii="宋体" w:hAnsi="宋体" w:eastAsia="宋体"/>
          <w:sz w:val="24"/>
          <w:szCs w:val="28"/>
        </w:rPr>
        <w:t>6</w:t>
      </w:r>
      <w:r>
        <w:rPr>
          <w:rFonts w:hint="eastAsia" w:ascii="宋体" w:hAnsi="宋体" w:eastAsia="宋体"/>
          <w:sz w:val="24"/>
          <w:szCs w:val="28"/>
        </w:rPr>
        <w:t>、本项目所需要无线客户接入端、ONU均须使用机打二维码标签进行标注及管理。</w:t>
      </w:r>
    </w:p>
    <w:p w14:paraId="2981F274">
      <w:pPr>
        <w:spacing w:line="360" w:lineRule="auto"/>
        <w:ind w:firstLine="480"/>
        <w:rPr>
          <w:rFonts w:hint="eastAsia" w:ascii="宋体" w:hAnsi="宋体" w:eastAsia="宋体"/>
          <w:sz w:val="24"/>
          <w:szCs w:val="28"/>
        </w:rPr>
      </w:pPr>
      <w:r>
        <w:rPr>
          <w:rFonts w:ascii="宋体" w:hAnsi="宋体" w:eastAsia="宋体"/>
          <w:sz w:val="24"/>
          <w:szCs w:val="28"/>
        </w:rPr>
        <w:t>7</w:t>
      </w:r>
      <w:r>
        <w:rPr>
          <w:rFonts w:hint="eastAsia" w:ascii="宋体" w:hAnsi="宋体" w:eastAsia="宋体"/>
          <w:sz w:val="24"/>
          <w:szCs w:val="28"/>
        </w:rPr>
        <w:t>、成交供应商在设备安装过程中如需进行打孔、切割、进户等有较大噪音及需要采购人现场配合的工作时，必须考虑招标人的实际情况，只能在事先约定的时间进场安装。</w:t>
      </w:r>
    </w:p>
    <w:p w14:paraId="793F2381">
      <w:pPr>
        <w:spacing w:line="360" w:lineRule="auto"/>
        <w:ind w:firstLine="480"/>
        <w:rPr>
          <w:rFonts w:hint="eastAsia" w:ascii="宋体" w:hAnsi="宋体" w:eastAsia="宋体"/>
          <w:sz w:val="24"/>
          <w:szCs w:val="28"/>
        </w:rPr>
      </w:pPr>
      <w:r>
        <w:rPr>
          <w:rFonts w:ascii="宋体" w:hAnsi="宋体" w:eastAsia="宋体"/>
          <w:sz w:val="24"/>
          <w:szCs w:val="28"/>
        </w:rPr>
        <w:t>8</w:t>
      </w:r>
      <w:r>
        <w:rPr>
          <w:rFonts w:hint="eastAsia" w:ascii="宋体" w:hAnsi="宋体" w:eastAsia="宋体"/>
          <w:sz w:val="24"/>
          <w:szCs w:val="28"/>
        </w:rPr>
        <w:t>、本次项目非单一设备采购，本次项目涉及的用户上网业务对接，因此本次项目实施中供应商要负责与学校现网核心交换机、BRAS、无线控制器等设备的对接调试、测试开通。</w:t>
      </w:r>
    </w:p>
    <w:p w14:paraId="06420421">
      <w:pPr>
        <w:spacing w:line="360" w:lineRule="auto"/>
        <w:ind w:firstLine="480"/>
        <w:rPr>
          <w:rFonts w:hint="eastAsia" w:ascii="宋体" w:hAnsi="宋体" w:eastAsia="宋体"/>
          <w:sz w:val="24"/>
          <w:szCs w:val="28"/>
        </w:rPr>
      </w:pPr>
      <w:r>
        <w:rPr>
          <w:rFonts w:hint="eastAsia" w:ascii="宋体" w:hAnsi="宋体" w:eastAsia="宋体"/>
          <w:sz w:val="24"/>
          <w:szCs w:val="28"/>
        </w:rPr>
        <w:t>（二）其他要求</w:t>
      </w:r>
    </w:p>
    <w:p w14:paraId="2DA507A2">
      <w:pPr>
        <w:spacing w:line="360" w:lineRule="auto"/>
        <w:ind w:firstLine="480"/>
        <w:rPr>
          <w:rFonts w:hint="eastAsia" w:ascii="宋体" w:hAnsi="宋体" w:eastAsia="宋体"/>
          <w:sz w:val="24"/>
          <w:szCs w:val="28"/>
        </w:rPr>
      </w:pPr>
      <w:r>
        <w:rPr>
          <w:rFonts w:hint="eastAsia" w:ascii="宋体" w:hAnsi="宋体" w:eastAsia="宋体"/>
          <w:sz w:val="24"/>
          <w:szCs w:val="28"/>
        </w:rPr>
        <w:t>1、采购人有权在项目确定成交供应商7个工作日内按照成交供应商竞争性磋商响应文件提供的技术参数进行现场核验，如核验结果与竞争性磋商响应文件不符，视为在投标过程中弄虚作假，将终止与供应商合同。</w:t>
      </w:r>
    </w:p>
    <w:p w14:paraId="2F229AAF">
      <w:pPr>
        <w:spacing w:line="360" w:lineRule="auto"/>
        <w:ind w:firstLine="480"/>
        <w:rPr>
          <w:rFonts w:hint="eastAsia" w:ascii="宋体" w:hAnsi="宋体" w:eastAsia="宋体"/>
          <w:sz w:val="24"/>
          <w:szCs w:val="28"/>
        </w:rPr>
      </w:pPr>
      <w:r>
        <w:rPr>
          <w:rFonts w:hint="eastAsia" w:ascii="宋体" w:hAnsi="宋体" w:eastAsia="宋体"/>
          <w:sz w:val="24"/>
          <w:szCs w:val="28"/>
        </w:rPr>
        <w:t>2、在项目交付的整个过程中，招标人如发现供应商所投设备实际参数、实际功能、所使用的辅材等与竞争性磋商响应文件不符，视为在竞争性磋商响应过程中弄虚作假，将终止与供应商合同。</w:t>
      </w:r>
    </w:p>
    <w:p w14:paraId="5D94F454">
      <w:pPr>
        <w:spacing w:line="360" w:lineRule="auto"/>
        <w:ind w:firstLine="480"/>
        <w:rPr>
          <w:rFonts w:hint="eastAsia" w:ascii="宋体" w:hAnsi="宋体" w:eastAsia="宋体"/>
          <w:sz w:val="24"/>
          <w:szCs w:val="28"/>
        </w:rPr>
      </w:pPr>
      <w:r>
        <w:rPr>
          <w:rFonts w:hint="eastAsia" w:ascii="宋体" w:hAnsi="宋体" w:eastAsia="宋体"/>
          <w:sz w:val="24"/>
          <w:szCs w:val="28"/>
        </w:rPr>
        <w:t>（三）商务要求</w:t>
      </w:r>
    </w:p>
    <w:p w14:paraId="366E22AB">
      <w:pPr>
        <w:spacing w:line="360" w:lineRule="auto"/>
        <w:ind w:firstLine="480"/>
        <w:rPr>
          <w:rFonts w:hint="eastAsia" w:ascii="宋体" w:hAnsi="宋体" w:eastAsia="宋体"/>
          <w:sz w:val="24"/>
          <w:szCs w:val="28"/>
        </w:rPr>
      </w:pPr>
      <w:r>
        <w:rPr>
          <w:rFonts w:hint="eastAsia" w:ascii="宋体" w:hAnsi="宋体" w:eastAsia="宋体"/>
          <w:sz w:val="24"/>
          <w:szCs w:val="28"/>
        </w:rPr>
        <w:t>1、交货时间：按照采购人的项目进度，分批次施工，每一批次施工工期为2</w:t>
      </w:r>
      <w:r>
        <w:rPr>
          <w:rFonts w:ascii="宋体" w:hAnsi="宋体" w:eastAsia="宋体"/>
          <w:sz w:val="24"/>
          <w:szCs w:val="28"/>
        </w:rPr>
        <w:t>0</w:t>
      </w:r>
      <w:r>
        <w:rPr>
          <w:rFonts w:hint="eastAsia" w:ascii="宋体" w:hAnsi="宋体" w:eastAsia="宋体"/>
          <w:sz w:val="24"/>
          <w:szCs w:val="28"/>
        </w:rPr>
        <w:t>天。</w:t>
      </w:r>
    </w:p>
    <w:p w14:paraId="3A34C008">
      <w:pPr>
        <w:spacing w:line="360" w:lineRule="auto"/>
        <w:ind w:firstLine="480"/>
        <w:rPr>
          <w:rFonts w:hint="eastAsia" w:ascii="宋体" w:hAnsi="宋体" w:eastAsia="宋体"/>
          <w:sz w:val="24"/>
          <w:szCs w:val="28"/>
        </w:rPr>
      </w:pPr>
      <w:r>
        <w:rPr>
          <w:rFonts w:hint="eastAsia" w:ascii="宋体" w:hAnsi="宋体" w:eastAsia="宋体"/>
          <w:sz w:val="24"/>
          <w:szCs w:val="28"/>
        </w:rPr>
        <w:t>2、付款方式：项目调试实施完成并经验收合格后采购人支付到合同金额的</w:t>
      </w:r>
      <w:r>
        <w:rPr>
          <w:rFonts w:ascii="宋体" w:hAnsi="宋体" w:eastAsia="宋体"/>
          <w:sz w:val="24"/>
          <w:szCs w:val="28"/>
        </w:rPr>
        <w:t>95</w:t>
      </w:r>
      <w:r>
        <w:rPr>
          <w:rFonts w:hint="eastAsia" w:ascii="宋体" w:hAnsi="宋体" w:eastAsia="宋体"/>
          <w:sz w:val="24"/>
          <w:szCs w:val="28"/>
        </w:rPr>
        <w:t>%，余款5</w:t>
      </w:r>
      <w:r>
        <w:rPr>
          <w:rFonts w:ascii="宋体" w:hAnsi="宋体" w:eastAsia="宋体"/>
          <w:sz w:val="24"/>
          <w:szCs w:val="28"/>
        </w:rPr>
        <w:t>%</w:t>
      </w:r>
      <w:r>
        <w:rPr>
          <w:rFonts w:hint="eastAsia" w:ascii="宋体" w:hAnsi="宋体" w:eastAsia="宋体"/>
          <w:sz w:val="24"/>
          <w:szCs w:val="28"/>
        </w:rPr>
        <w:t>一年后免息支付。</w:t>
      </w:r>
    </w:p>
    <w:p w14:paraId="14B7B871">
      <w:pPr>
        <w:spacing w:line="360" w:lineRule="auto"/>
        <w:ind w:firstLine="480"/>
        <w:rPr>
          <w:rFonts w:hint="eastAsia" w:ascii="宋体" w:hAnsi="宋体" w:eastAsia="宋体"/>
          <w:sz w:val="24"/>
          <w:szCs w:val="28"/>
        </w:rPr>
      </w:pPr>
      <w:r>
        <w:rPr>
          <w:rFonts w:hint="eastAsia" w:ascii="宋体" w:hAnsi="宋体" w:eastAsia="宋体"/>
          <w:sz w:val="24"/>
          <w:szCs w:val="28"/>
        </w:rPr>
        <w:t>3、免费质保期：所有网络硬件设备提供原厂五年质保，系统提供五年软件及特征库升级；本项目所用线缆需提供20年原厂质保。中标方需在签订合同前提供所有设备的原厂质保承诺函原件，否则不予签订合同。</w:t>
      </w:r>
    </w:p>
    <w:p w14:paraId="672B901B">
      <w:pPr>
        <w:spacing w:line="360" w:lineRule="auto"/>
        <w:ind w:firstLine="480"/>
        <w:rPr>
          <w:rFonts w:hint="eastAsia" w:ascii="宋体" w:hAnsi="宋体" w:eastAsia="宋体"/>
          <w:sz w:val="24"/>
          <w:szCs w:val="28"/>
        </w:rPr>
      </w:pPr>
      <w:r>
        <w:rPr>
          <w:rFonts w:hint="eastAsia" w:ascii="宋体" w:hAnsi="宋体" w:eastAsia="宋体"/>
          <w:sz w:val="24"/>
          <w:szCs w:val="28"/>
        </w:rPr>
        <w:t>供应商需承诺成交后一周内签订合同前提供设备制造商加盖公章的针对本项目的质保函原件，并在质保期内为设备清单内的软硬件产品在质保期内提供免费服务和相关软件的授权及软件版本和特征库免费升级（需提供承诺函）。</w:t>
      </w:r>
    </w:p>
    <w:p w14:paraId="0D443979">
      <w:pPr>
        <w:spacing w:line="360" w:lineRule="auto"/>
        <w:ind w:firstLine="480"/>
        <w:rPr>
          <w:rFonts w:hint="eastAsia" w:ascii="宋体" w:hAnsi="宋体" w:eastAsia="宋体"/>
          <w:sz w:val="24"/>
          <w:szCs w:val="28"/>
        </w:rPr>
      </w:pPr>
      <w:r>
        <w:rPr>
          <w:rFonts w:hint="eastAsia" w:ascii="宋体" w:hAnsi="宋体" w:eastAsia="宋体"/>
          <w:sz w:val="24"/>
          <w:szCs w:val="28"/>
        </w:rPr>
        <w:t>4、供应商在实施完毕后需根据校方需要提供主流厂商认证的高级工程师驻场服务，学校重大活动时按照学校要求提供工程师驻场服务，每次时长不低于1个月，并承诺在质保期内如发生故障，必须及时响应并免费上门服务，要求成交供应商提供7*24不间断热线响应；常见问题半小时到达现场，2小时修复；大故障6小时修复（投标响应时需提供承诺函）。</w:t>
      </w:r>
    </w:p>
    <w:p w14:paraId="11A46A5E">
      <w:pPr>
        <w:spacing w:line="360" w:lineRule="auto"/>
        <w:rPr>
          <w:rFonts w:hint="eastAsia" w:ascii="宋体" w:hAnsi="宋体" w:eastAsia="宋体"/>
          <w:b/>
          <w:bCs/>
          <w:sz w:val="24"/>
          <w:szCs w:val="28"/>
        </w:rPr>
      </w:pPr>
    </w:p>
    <w:p w14:paraId="6914DB48">
      <w:pPr>
        <w:spacing w:line="360" w:lineRule="auto"/>
        <w:ind w:firstLine="480" w:firstLineChars="200"/>
        <w:rPr>
          <w:rFonts w:hint="eastAsia" w:ascii="宋体" w:hAnsi="宋体" w:eastAsia="宋体" w:cs="宋体"/>
          <w:sz w:val="24"/>
          <w:szCs w:val="24"/>
        </w:rPr>
        <w:sectPr>
          <w:footerReference r:id="rId8" w:type="default"/>
          <w:pgSz w:w="11906" w:h="16838"/>
          <w:pgMar w:top="1440" w:right="1803" w:bottom="1440" w:left="1803" w:header="851" w:footer="851" w:gutter="0"/>
          <w:cols w:space="720" w:num="1"/>
          <w:docGrid w:linePitch="312" w:charSpace="0"/>
        </w:sectPr>
      </w:pPr>
      <w:bookmarkStart w:id="9" w:name="_Toc313869303"/>
      <w:bookmarkStart w:id="10" w:name="_Toc313869078"/>
      <w:bookmarkStart w:id="11" w:name="_Toc451844573"/>
    </w:p>
    <w:bookmarkEnd w:id="9"/>
    <w:bookmarkEnd w:id="10"/>
    <w:bookmarkEnd w:id="11"/>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2"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12"/>
    </w:p>
    <w:p w14:paraId="02BE9679">
      <w:pPr>
        <w:pStyle w:val="28"/>
        <w:spacing w:before="120" w:after="120" w:line="360" w:lineRule="auto"/>
        <w:ind w:firstLine="420"/>
        <w:rPr>
          <w:rFonts w:hint="eastAsia" w:hAnsi="宋体"/>
        </w:rPr>
      </w:pPr>
      <w:r>
        <w:rPr>
          <w:rFonts w:hint="eastAsia" w:hAnsi="宋体"/>
        </w:rPr>
        <w:t>以下为中标后签定本项目合同的通用条款，中标人不得提出实质性的修改，关于专用条款将由采购人与中标人结合本项目具体情况协商后签订。</w:t>
      </w:r>
    </w:p>
    <w:p w14:paraId="649F42DF">
      <w:pPr>
        <w:pStyle w:val="28"/>
        <w:spacing w:before="120" w:after="120" w:line="360" w:lineRule="auto"/>
        <w:ind w:firstLine="422"/>
        <w:jc w:val="center"/>
        <w:rPr>
          <w:rFonts w:hint="eastAsia" w:hAnsi="宋体" w:cs="宋体"/>
          <w:b/>
          <w:bCs/>
        </w:rPr>
      </w:pPr>
      <w:r>
        <w:rPr>
          <w:rFonts w:hint="eastAsia" w:hAnsi="宋体" w:cs="宋体"/>
          <w:b/>
          <w:bCs/>
        </w:rPr>
        <w:t>采购合同（货物)（合同编号）</w:t>
      </w:r>
    </w:p>
    <w:p w14:paraId="4CD55794">
      <w:pPr>
        <w:pStyle w:val="28"/>
        <w:spacing w:before="120" w:after="120" w:line="360" w:lineRule="auto"/>
        <w:ind w:firstLine="420"/>
        <w:rPr>
          <w:rFonts w:hint="eastAsia" w:hAnsi="宋体" w:cs="宋体"/>
        </w:rPr>
      </w:pPr>
      <w:r>
        <w:rPr>
          <w:rFonts w:hint="eastAsia" w:hAnsi="宋体" w:cs="宋体"/>
        </w:rPr>
        <w:t>项目名称：</w:t>
      </w:r>
    </w:p>
    <w:p w14:paraId="2F8DAF32">
      <w:pPr>
        <w:pStyle w:val="28"/>
        <w:spacing w:before="120" w:after="120" w:line="360" w:lineRule="auto"/>
        <w:ind w:firstLine="420"/>
        <w:rPr>
          <w:rFonts w:hint="eastAsia" w:hAnsi="宋体" w:cs="宋体"/>
        </w:rPr>
      </w:pPr>
      <w:r>
        <w:rPr>
          <w:rFonts w:hint="eastAsia" w:hAnsi="宋体" w:cs="宋体"/>
        </w:rPr>
        <w:t>项目编号：</w:t>
      </w:r>
    </w:p>
    <w:p w14:paraId="6986D040">
      <w:pPr>
        <w:pStyle w:val="28"/>
        <w:spacing w:before="120" w:after="120" w:line="360" w:lineRule="auto"/>
        <w:ind w:firstLine="420"/>
        <w:rPr>
          <w:rFonts w:hint="eastAsia" w:hAnsi="宋体" w:cs="宋体"/>
        </w:rPr>
      </w:pPr>
      <w:r>
        <w:rPr>
          <w:rFonts w:hint="eastAsia" w:hAnsi="宋体" w:cs="宋体"/>
        </w:rPr>
        <w:t>甲方：（买方）_________</w:t>
      </w:r>
    </w:p>
    <w:p w14:paraId="73F02534">
      <w:pPr>
        <w:pStyle w:val="28"/>
        <w:spacing w:before="120" w:after="120" w:line="360" w:lineRule="auto"/>
        <w:ind w:firstLine="420"/>
        <w:rPr>
          <w:rFonts w:hint="eastAsia" w:hAnsi="宋体" w:cs="宋体"/>
        </w:rPr>
      </w:pPr>
      <w:r>
        <w:rPr>
          <w:rFonts w:hint="eastAsia" w:hAnsi="宋体" w:cs="宋体"/>
        </w:rPr>
        <w:t>乙方：（卖方）_________</w:t>
      </w:r>
    </w:p>
    <w:p w14:paraId="5ED022B1">
      <w:pPr>
        <w:pStyle w:val="28"/>
        <w:spacing w:before="120" w:after="120" w:line="360" w:lineRule="auto"/>
        <w:ind w:firstLine="420"/>
        <w:rPr>
          <w:rFonts w:hint="eastAsia" w:hAnsi="宋体" w:cs="宋体"/>
        </w:rPr>
      </w:pPr>
      <w:r>
        <w:rPr>
          <w:rFonts w:hint="eastAsia" w:hAnsi="宋体" w:cs="宋体"/>
        </w:rPr>
        <w:t>甲、乙双方根据</w:t>
      </w:r>
      <w:r>
        <w:rPr>
          <w:rFonts w:hint="eastAsia" w:hAnsi="宋体" w:cs="宋体"/>
          <w:u w:val="single"/>
        </w:rPr>
        <w:t xml:space="preserve">                       </w:t>
      </w:r>
      <w:r>
        <w:rPr>
          <w:rFonts w:hint="eastAsia" w:hAnsi="宋体" w:cs="宋体"/>
        </w:rPr>
        <w:t>项目公开招标的结果，签署本合同。</w:t>
      </w:r>
    </w:p>
    <w:p w14:paraId="71CFC23B">
      <w:pPr>
        <w:pStyle w:val="28"/>
        <w:spacing w:before="120" w:after="120" w:line="360" w:lineRule="auto"/>
        <w:ind w:firstLine="422"/>
        <w:rPr>
          <w:rFonts w:hint="eastAsia" w:hAnsi="宋体" w:cs="宋体"/>
          <w:b/>
          <w:bCs/>
        </w:rPr>
      </w:pPr>
      <w:r>
        <w:rPr>
          <w:rFonts w:hint="eastAsia" w:hAnsi="宋体" w:cs="宋体"/>
          <w:b/>
          <w:bCs/>
        </w:rPr>
        <w:t>一、货物及伴随服务</w:t>
      </w:r>
    </w:p>
    <w:p w14:paraId="4A5B3AC8">
      <w:pPr>
        <w:pStyle w:val="28"/>
        <w:spacing w:before="120" w:after="120" w:line="360" w:lineRule="auto"/>
        <w:ind w:firstLine="420"/>
        <w:rPr>
          <w:rFonts w:hint="eastAsia" w:hAnsi="宋体" w:cs="宋体"/>
        </w:rPr>
      </w:pPr>
      <w:r>
        <w:rPr>
          <w:rFonts w:hint="eastAsia" w:hAnsi="宋体" w:cs="宋体"/>
        </w:rPr>
        <w:t>1.1 货物及服务名称：</w:t>
      </w:r>
    </w:p>
    <w:p w14:paraId="28EAF37C">
      <w:pPr>
        <w:pStyle w:val="28"/>
        <w:spacing w:before="120" w:after="120" w:line="360" w:lineRule="auto"/>
        <w:ind w:firstLine="420"/>
        <w:rPr>
          <w:rFonts w:hint="eastAsia" w:hAnsi="宋体" w:cs="宋体"/>
        </w:rPr>
      </w:pPr>
      <w:r>
        <w:rPr>
          <w:rFonts w:hint="eastAsia" w:hAnsi="宋体" w:cs="宋体"/>
        </w:rPr>
        <w:t>1.2 型号规格：</w:t>
      </w:r>
    </w:p>
    <w:p w14:paraId="588B93F1">
      <w:pPr>
        <w:pStyle w:val="28"/>
        <w:spacing w:before="120" w:after="120" w:line="360" w:lineRule="auto"/>
        <w:ind w:firstLine="420"/>
        <w:rPr>
          <w:rFonts w:hint="eastAsia" w:hAnsi="宋体" w:cs="宋体"/>
        </w:rPr>
      </w:pPr>
      <w:r>
        <w:rPr>
          <w:rFonts w:hint="eastAsia" w:hAnsi="宋体" w:cs="宋体"/>
        </w:rPr>
        <w:t>1.3 数量（单位）</w:t>
      </w:r>
    </w:p>
    <w:p w14:paraId="7DB771B8">
      <w:pPr>
        <w:pStyle w:val="28"/>
        <w:spacing w:before="120" w:after="120" w:line="360" w:lineRule="auto"/>
        <w:ind w:firstLine="422"/>
        <w:rPr>
          <w:rFonts w:hint="eastAsia" w:hAnsi="宋体" w:cs="宋体"/>
          <w:b/>
          <w:bCs/>
        </w:rPr>
      </w:pPr>
      <w:r>
        <w:rPr>
          <w:rFonts w:hint="eastAsia" w:hAnsi="宋体" w:cs="宋体"/>
          <w:b/>
          <w:bCs/>
        </w:rPr>
        <w:t>二、合同金额</w:t>
      </w:r>
    </w:p>
    <w:p w14:paraId="5E7F938E">
      <w:pPr>
        <w:pStyle w:val="28"/>
        <w:spacing w:before="120" w:after="120" w:line="360" w:lineRule="auto"/>
        <w:ind w:firstLine="420"/>
        <w:rPr>
          <w:rFonts w:hint="eastAsia" w:hAnsi="宋体" w:cs="宋体"/>
        </w:rPr>
      </w:pPr>
      <w:r>
        <w:rPr>
          <w:rFonts w:hint="eastAsia" w:hAnsi="宋体" w:cs="宋体"/>
        </w:rPr>
        <w:t>2.1  本合同为固定包干总价合同。</w:t>
      </w:r>
    </w:p>
    <w:p w14:paraId="019292A3">
      <w:pPr>
        <w:pStyle w:val="28"/>
        <w:spacing w:before="120" w:after="120" w:line="360" w:lineRule="auto"/>
        <w:ind w:firstLine="420"/>
        <w:rPr>
          <w:rFonts w:hint="eastAsia" w:hAnsi="宋体" w:cs="宋体"/>
        </w:rPr>
      </w:pPr>
      <w:r>
        <w:rPr>
          <w:rFonts w:hint="eastAsia" w:hAnsi="宋体" w:cs="宋体"/>
        </w:rPr>
        <w:t>2.2本合同金额为（大写）：____________________________________圆（_______________元）人民币。</w:t>
      </w:r>
    </w:p>
    <w:p w14:paraId="6F10352E">
      <w:pPr>
        <w:pStyle w:val="28"/>
        <w:spacing w:before="120" w:after="120" w:line="360" w:lineRule="auto"/>
        <w:ind w:firstLine="422"/>
        <w:rPr>
          <w:rFonts w:hint="eastAsia" w:hAnsi="宋体" w:cs="宋体"/>
          <w:b/>
          <w:bCs/>
        </w:rPr>
      </w:pPr>
      <w:r>
        <w:rPr>
          <w:rFonts w:hint="eastAsia" w:hAnsi="宋体" w:cs="宋体"/>
          <w:b/>
          <w:bCs/>
        </w:rPr>
        <w:t>三、技术资料</w:t>
      </w:r>
    </w:p>
    <w:p w14:paraId="5BD507DE">
      <w:pPr>
        <w:pStyle w:val="28"/>
        <w:spacing w:before="120" w:after="120" w:line="360" w:lineRule="auto"/>
        <w:ind w:firstLine="420"/>
        <w:rPr>
          <w:rFonts w:hint="eastAsia" w:hAnsi="宋体" w:cs="宋体"/>
        </w:rPr>
      </w:pPr>
      <w:r>
        <w:rPr>
          <w:rFonts w:hint="eastAsia" w:hAnsi="宋体" w:cs="宋体"/>
        </w:rPr>
        <w:t>3.1乙方应按采购文件规定的时间向甲方提供使用货物及服务的有关技术资料。</w:t>
      </w:r>
    </w:p>
    <w:p w14:paraId="169BB315">
      <w:pPr>
        <w:pStyle w:val="28"/>
        <w:spacing w:before="120" w:after="120" w:line="360" w:lineRule="auto"/>
        <w:ind w:firstLine="420"/>
        <w:rPr>
          <w:rFonts w:hint="eastAsia" w:hAnsi="宋体" w:cs="宋体"/>
        </w:rPr>
      </w:pPr>
      <w:r>
        <w:rPr>
          <w:rFonts w:hint="eastAsia" w:hAnsi="宋体" w:cs="宋体"/>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E31E187">
      <w:pPr>
        <w:pStyle w:val="28"/>
        <w:spacing w:before="120" w:after="120" w:line="360" w:lineRule="auto"/>
        <w:ind w:firstLine="422"/>
        <w:rPr>
          <w:rFonts w:hint="eastAsia" w:hAnsi="宋体" w:cs="宋体"/>
          <w:b/>
          <w:bCs/>
        </w:rPr>
      </w:pPr>
      <w:r>
        <w:rPr>
          <w:rFonts w:hint="eastAsia" w:hAnsi="宋体" w:cs="宋体"/>
          <w:b/>
          <w:bCs/>
        </w:rPr>
        <w:t>四、知识产权</w:t>
      </w:r>
    </w:p>
    <w:p w14:paraId="0AA5DB07">
      <w:pPr>
        <w:pStyle w:val="28"/>
        <w:spacing w:before="120" w:after="120" w:line="360" w:lineRule="auto"/>
        <w:ind w:firstLine="420"/>
        <w:rPr>
          <w:rFonts w:hint="eastAsia" w:hAnsi="宋体" w:cs="宋体"/>
        </w:rPr>
      </w:pPr>
      <w:r>
        <w:rPr>
          <w:rFonts w:hint="eastAsia" w:hAnsi="宋体" w:cs="宋体"/>
        </w:rPr>
        <w:t>4.1乙方应保证甲方在使用、接受本合同货物及服务或其任何一部分时不受第三方提出侵犯其专利权、版权、商标权和工业设计权等知识产权的起诉。一旦出现侵权，由乙方负全部责任。</w:t>
      </w:r>
    </w:p>
    <w:p w14:paraId="17D04D13">
      <w:pPr>
        <w:pStyle w:val="28"/>
        <w:spacing w:before="120" w:after="120" w:line="360" w:lineRule="auto"/>
        <w:ind w:firstLine="422"/>
        <w:rPr>
          <w:rFonts w:hint="eastAsia" w:hAnsi="宋体" w:cs="宋体"/>
          <w:b/>
          <w:bCs/>
        </w:rPr>
      </w:pPr>
      <w:r>
        <w:rPr>
          <w:rFonts w:hint="eastAsia" w:hAnsi="宋体" w:cs="宋体"/>
          <w:b/>
          <w:bCs/>
        </w:rPr>
        <w:t>五、产权担保</w:t>
      </w:r>
    </w:p>
    <w:p w14:paraId="2D2987DA">
      <w:pPr>
        <w:pStyle w:val="28"/>
        <w:spacing w:before="120" w:after="120" w:line="360" w:lineRule="auto"/>
        <w:ind w:firstLine="420"/>
        <w:rPr>
          <w:rFonts w:hint="eastAsia" w:hAnsi="宋体" w:cs="宋体"/>
        </w:rPr>
      </w:pPr>
      <w:r>
        <w:rPr>
          <w:rFonts w:hint="eastAsia" w:hAnsi="宋体" w:cs="宋体"/>
        </w:rPr>
        <w:t>5.1 乙方保证所交付的货物及服务的所有权完全属于乙方且无任何抵押、查封等产权瑕疵。</w:t>
      </w:r>
    </w:p>
    <w:p w14:paraId="2D4D87A5">
      <w:pPr>
        <w:pStyle w:val="28"/>
        <w:spacing w:before="120" w:after="120" w:line="360" w:lineRule="auto"/>
        <w:ind w:firstLine="422"/>
        <w:rPr>
          <w:rFonts w:hint="eastAsia" w:hAnsi="宋体" w:cs="宋体"/>
          <w:b/>
          <w:bCs/>
        </w:rPr>
      </w:pPr>
      <w:r>
        <w:rPr>
          <w:rFonts w:hint="eastAsia" w:hAnsi="宋体" w:cs="宋体"/>
          <w:b/>
          <w:bCs/>
        </w:rPr>
        <w:t>六、履约保证金</w:t>
      </w:r>
    </w:p>
    <w:p w14:paraId="1259896E">
      <w:pPr>
        <w:pStyle w:val="28"/>
        <w:spacing w:before="120" w:after="120" w:line="360" w:lineRule="auto"/>
        <w:ind w:firstLine="420"/>
        <w:rPr>
          <w:rFonts w:hint="eastAsia" w:hAnsi="宋体" w:cs="宋体"/>
        </w:rPr>
      </w:pPr>
      <w:r>
        <w:rPr>
          <w:rFonts w:hint="eastAsia" w:hAnsi="宋体" w:cs="宋体"/>
        </w:rPr>
        <w:t>6.1收取履约保证金的，</w:t>
      </w:r>
      <w:r>
        <w:rPr>
          <w:rFonts w:hint="eastAsia" w:hAnsi="宋体"/>
        </w:rPr>
        <w:t>允许中标人自主选择支票、汇票、本票、保函等非现金形式缴纳或提交，</w:t>
      </w:r>
      <w:r>
        <w:rPr>
          <w:rFonts w:hint="eastAsia" w:hAnsi="宋体" w:cs="宋体"/>
        </w:rPr>
        <w:t>应当在采购合同中约定履约保证金退还的方式、时间、条件和不予退还的情形，明确逾期退还履约保证金的违约责任。</w:t>
      </w:r>
    </w:p>
    <w:p w14:paraId="0FF9F530">
      <w:pPr>
        <w:pStyle w:val="28"/>
        <w:spacing w:before="120" w:after="120" w:line="360" w:lineRule="auto"/>
        <w:ind w:firstLine="420"/>
        <w:rPr>
          <w:rFonts w:hint="eastAsia" w:hAnsi="宋体" w:cs="宋体"/>
        </w:rPr>
      </w:pPr>
      <w:r>
        <w:rPr>
          <w:rFonts w:hint="eastAsia" w:hAnsi="宋体" w:cs="宋体"/>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033FFD12">
      <w:pPr>
        <w:pStyle w:val="28"/>
        <w:spacing w:before="120" w:after="120" w:line="360" w:lineRule="auto"/>
        <w:ind w:firstLine="420"/>
        <w:rPr>
          <w:rFonts w:hint="eastAsia" w:hAnsi="宋体" w:cs="宋体"/>
        </w:rPr>
      </w:pPr>
      <w:r>
        <w:rPr>
          <w:rFonts w:hint="eastAsia" w:hAnsi="宋体" w:cs="宋体"/>
        </w:rPr>
        <w:t>6.3 履约保证金扣除甲方应得的补偿后的余额，在本合同履行结束后由甲方退还。逾期退还的，按中国人民银行同期贷款基准利率上浮20%后的利率支付超期资金占用费，但因乙方自身原因导致无法及时退还的除外。 </w:t>
      </w:r>
    </w:p>
    <w:p w14:paraId="48DC4BB8">
      <w:pPr>
        <w:pStyle w:val="28"/>
        <w:spacing w:before="120" w:after="120" w:line="360" w:lineRule="auto"/>
        <w:ind w:firstLine="420"/>
        <w:rPr>
          <w:rFonts w:hint="eastAsia" w:hAnsi="宋体"/>
        </w:rPr>
      </w:pPr>
      <w:r>
        <w:rPr>
          <w:rFonts w:hint="eastAsia" w:hAnsi="宋体"/>
        </w:rPr>
        <w:t>6.4 履约保证收取：无</w:t>
      </w:r>
    </w:p>
    <w:p w14:paraId="4651A3D1">
      <w:pPr>
        <w:pStyle w:val="28"/>
        <w:spacing w:before="120" w:after="120" w:line="360" w:lineRule="auto"/>
        <w:ind w:firstLine="422"/>
        <w:rPr>
          <w:rFonts w:hint="eastAsia" w:hAnsi="宋体" w:cs="宋体"/>
          <w:b/>
          <w:bCs/>
        </w:rPr>
      </w:pPr>
      <w:r>
        <w:rPr>
          <w:rFonts w:hint="eastAsia" w:hAnsi="宋体" w:cs="宋体"/>
          <w:b/>
          <w:bCs/>
        </w:rPr>
        <w:t>七、转包或分包</w:t>
      </w:r>
    </w:p>
    <w:p w14:paraId="45066ED4">
      <w:pPr>
        <w:pStyle w:val="28"/>
        <w:spacing w:before="120" w:after="120" w:line="360" w:lineRule="auto"/>
        <w:ind w:firstLine="420"/>
        <w:rPr>
          <w:rFonts w:hint="eastAsia" w:hAnsi="宋体" w:cs="宋体"/>
        </w:rPr>
      </w:pPr>
      <w:r>
        <w:rPr>
          <w:rFonts w:hint="eastAsia" w:hAnsi="宋体" w:cs="宋体"/>
        </w:rPr>
        <w:t>7.1本合同范围的货物及服务，应由乙方直接供应，不得转让他人供应；</w:t>
      </w:r>
    </w:p>
    <w:p w14:paraId="22D6960E">
      <w:pPr>
        <w:pStyle w:val="28"/>
        <w:spacing w:before="120" w:after="120" w:line="360" w:lineRule="auto"/>
        <w:ind w:firstLine="420"/>
        <w:rPr>
          <w:rFonts w:hint="eastAsia" w:hAnsi="宋体" w:cs="宋体"/>
        </w:rPr>
      </w:pPr>
      <w:r>
        <w:rPr>
          <w:rFonts w:hint="eastAsia" w:hAnsi="宋体" w:cs="宋体"/>
        </w:rPr>
        <w:t>7.2 除非得到甲方的书面同意，乙方不得部分分包给他人供应。</w:t>
      </w:r>
    </w:p>
    <w:p w14:paraId="1D47652A">
      <w:pPr>
        <w:pStyle w:val="28"/>
        <w:spacing w:before="120" w:after="120" w:line="360" w:lineRule="auto"/>
        <w:ind w:firstLine="420"/>
        <w:rPr>
          <w:rFonts w:hint="eastAsia" w:hAnsi="宋体" w:cs="宋体"/>
        </w:rPr>
      </w:pPr>
      <w:r>
        <w:rPr>
          <w:rFonts w:hint="eastAsia" w:hAnsi="宋体" w:cs="宋体"/>
        </w:rPr>
        <w:t>7.3如有转让和未经甲方同意的分包行为，甲方有权给予终止合同。</w:t>
      </w:r>
    </w:p>
    <w:p w14:paraId="5700BA13">
      <w:pPr>
        <w:pStyle w:val="28"/>
        <w:spacing w:before="120" w:after="120" w:line="360" w:lineRule="auto"/>
        <w:ind w:firstLine="422"/>
        <w:rPr>
          <w:rFonts w:hint="eastAsia" w:hAnsi="宋体" w:cs="宋体"/>
          <w:b/>
          <w:bCs/>
        </w:rPr>
      </w:pPr>
      <w:r>
        <w:rPr>
          <w:rFonts w:hint="eastAsia" w:hAnsi="宋体" w:cs="宋体"/>
          <w:b/>
          <w:bCs/>
        </w:rPr>
        <w:t>八、质保期</w:t>
      </w:r>
    </w:p>
    <w:p w14:paraId="51EF3F1F">
      <w:pPr>
        <w:pStyle w:val="28"/>
        <w:spacing w:before="120" w:after="120" w:line="360" w:lineRule="auto"/>
        <w:ind w:firstLine="420"/>
        <w:rPr>
          <w:rFonts w:hint="eastAsia" w:hAnsi="宋体" w:cs="宋体"/>
        </w:rPr>
      </w:pPr>
      <w:r>
        <w:rPr>
          <w:rFonts w:hint="eastAsia" w:hAnsi="宋体" w:cs="宋体"/>
        </w:rPr>
        <w:t>8.1 质保期</w:t>
      </w:r>
      <w:r>
        <w:rPr>
          <w:rFonts w:hint="eastAsia" w:hAnsi="宋体" w:cs="宋体"/>
          <w:sz w:val="36"/>
          <w:szCs w:val="36"/>
          <w:u w:val="single"/>
        </w:rPr>
        <w:t xml:space="preserve"> </w:t>
      </w:r>
      <w:r>
        <w:rPr>
          <w:rFonts w:hint="eastAsia" w:hAnsi="宋体" w:cs="宋体"/>
          <w:u w:val="single"/>
        </w:rPr>
        <w:t>5</w:t>
      </w:r>
      <w:r>
        <w:rPr>
          <w:rFonts w:hint="eastAsia" w:hAnsi="宋体" w:cs="宋体"/>
          <w:sz w:val="36"/>
          <w:szCs w:val="36"/>
          <w:u w:val="single"/>
        </w:rPr>
        <w:t xml:space="preserve"> </w:t>
      </w:r>
      <w:r>
        <w:rPr>
          <w:rFonts w:hint="eastAsia" w:hAnsi="宋体" w:cs="宋体"/>
        </w:rPr>
        <w:t>年。（自交货验收合格之日起计）</w:t>
      </w:r>
    </w:p>
    <w:p w14:paraId="62556865">
      <w:pPr>
        <w:pStyle w:val="28"/>
        <w:spacing w:before="120" w:after="120" w:line="360" w:lineRule="auto"/>
        <w:ind w:firstLine="422"/>
        <w:rPr>
          <w:rFonts w:hint="eastAsia" w:hAnsi="宋体" w:cs="宋体"/>
          <w:b/>
          <w:bCs/>
        </w:rPr>
      </w:pPr>
      <w:r>
        <w:rPr>
          <w:rFonts w:hint="eastAsia" w:hAnsi="宋体" w:cs="宋体"/>
          <w:b/>
          <w:bCs/>
        </w:rPr>
        <w:t>九、交付期、交付方式及交付地点</w:t>
      </w:r>
    </w:p>
    <w:p w14:paraId="0192C642">
      <w:pPr>
        <w:spacing w:line="360" w:lineRule="auto"/>
        <w:ind w:firstLine="420"/>
        <w:rPr>
          <w:rFonts w:hint="eastAsia" w:ascii="宋体" w:hAnsi="宋体" w:eastAsia="宋体" w:cs="宋体"/>
          <w:szCs w:val="21"/>
        </w:rPr>
      </w:pPr>
      <w:r>
        <w:rPr>
          <w:rFonts w:hint="eastAsia" w:ascii="宋体" w:hAnsi="宋体" w:eastAsia="宋体" w:cs="宋体"/>
          <w:szCs w:val="21"/>
        </w:rPr>
        <w:t>9.1 交付期：_________</w:t>
      </w:r>
    </w:p>
    <w:p w14:paraId="76CC841A">
      <w:pPr>
        <w:spacing w:line="360" w:lineRule="auto"/>
        <w:ind w:firstLine="420"/>
        <w:rPr>
          <w:rFonts w:hint="eastAsia" w:ascii="宋体" w:hAnsi="宋体" w:eastAsia="宋体" w:cs="宋体"/>
          <w:szCs w:val="21"/>
        </w:rPr>
      </w:pPr>
      <w:r>
        <w:rPr>
          <w:rFonts w:hint="eastAsia" w:ascii="宋体" w:hAnsi="宋体" w:eastAsia="宋体" w:cs="宋体"/>
          <w:szCs w:val="21"/>
        </w:rPr>
        <w:t>9.2 交付方式：_________</w:t>
      </w:r>
    </w:p>
    <w:p w14:paraId="1EF4C725">
      <w:pPr>
        <w:spacing w:line="360" w:lineRule="auto"/>
        <w:ind w:firstLine="420"/>
        <w:rPr>
          <w:rFonts w:hint="eastAsia" w:ascii="宋体" w:hAnsi="宋体" w:eastAsia="宋体" w:cs="宋体"/>
          <w:szCs w:val="21"/>
        </w:rPr>
      </w:pPr>
      <w:r>
        <w:rPr>
          <w:rFonts w:hint="eastAsia" w:ascii="宋体" w:hAnsi="宋体" w:eastAsia="宋体" w:cs="宋体"/>
          <w:szCs w:val="21"/>
        </w:rPr>
        <w:t>9.3 交付地点：_________</w:t>
      </w:r>
    </w:p>
    <w:p w14:paraId="2F889276">
      <w:pPr>
        <w:pStyle w:val="28"/>
        <w:spacing w:before="120" w:after="120" w:line="360" w:lineRule="auto"/>
        <w:ind w:firstLine="422"/>
        <w:rPr>
          <w:rFonts w:hint="eastAsia" w:hAnsi="宋体" w:cs="宋体"/>
          <w:b/>
          <w:bCs/>
        </w:rPr>
      </w:pPr>
      <w:r>
        <w:rPr>
          <w:rFonts w:hint="eastAsia" w:hAnsi="宋体" w:cs="宋体"/>
          <w:b/>
          <w:bCs/>
        </w:rPr>
        <w:t>十、货款支付</w:t>
      </w:r>
    </w:p>
    <w:p w14:paraId="25677F4D">
      <w:pPr>
        <w:spacing w:line="360" w:lineRule="auto"/>
        <w:ind w:firstLine="420"/>
        <w:rPr>
          <w:rFonts w:hint="eastAsia" w:ascii="宋体" w:hAnsi="宋体" w:eastAsia="宋体" w:cs="宋体"/>
          <w:szCs w:val="21"/>
        </w:rPr>
      </w:pPr>
      <w:r>
        <w:rPr>
          <w:rFonts w:hint="eastAsia" w:ascii="宋体" w:hAnsi="宋体" w:eastAsia="宋体" w:cs="宋体"/>
          <w:szCs w:val="21"/>
        </w:rPr>
        <w:t>10.1 本合同项下所有款项均以人民币支付。</w:t>
      </w:r>
    </w:p>
    <w:p w14:paraId="0E8B7CED">
      <w:pPr>
        <w:spacing w:line="360" w:lineRule="auto"/>
        <w:ind w:firstLine="420"/>
        <w:rPr>
          <w:rFonts w:hint="eastAsia" w:ascii="宋体" w:hAnsi="宋体" w:eastAsia="宋体" w:cs="宋体"/>
          <w:szCs w:val="21"/>
        </w:rPr>
      </w:pPr>
      <w:r>
        <w:rPr>
          <w:rFonts w:hint="eastAsia" w:ascii="宋体" w:hAnsi="宋体" w:eastAsia="宋体" w:cs="宋体"/>
          <w:szCs w:val="21"/>
        </w:rPr>
        <w:t>10.2 本合同项下的采购资金由甲方支付，付款前乙方向甲方开具发票。</w:t>
      </w:r>
    </w:p>
    <w:p w14:paraId="18443C4F">
      <w:pPr>
        <w:pStyle w:val="28"/>
        <w:spacing w:line="360" w:lineRule="auto"/>
        <w:ind w:firstLine="420"/>
        <w:rPr>
          <w:rFonts w:hint="eastAsia" w:hAnsi="宋体" w:cs="宋体"/>
        </w:rPr>
      </w:pPr>
      <w:r>
        <w:rPr>
          <w:rFonts w:hint="eastAsia" w:hAnsi="宋体" w:cs="宋体"/>
        </w:rPr>
        <w:t>10.3甲方付款方式：</w:t>
      </w:r>
    </w:p>
    <w:p w14:paraId="74B44D6E">
      <w:pPr>
        <w:pStyle w:val="28"/>
        <w:spacing w:before="120" w:after="120" w:line="360" w:lineRule="auto"/>
        <w:ind w:firstLine="422"/>
        <w:rPr>
          <w:rFonts w:hint="eastAsia" w:hAnsi="宋体" w:cs="宋体"/>
          <w:color w:val="000000"/>
          <w:sz w:val="24"/>
          <w:szCs w:val="24"/>
        </w:rPr>
      </w:pPr>
      <w:r>
        <w:rPr>
          <w:rFonts w:hint="eastAsia" w:hAnsi="宋体" w:cs="宋体"/>
          <w:color w:val="000000"/>
          <w:sz w:val="24"/>
          <w:szCs w:val="24"/>
        </w:rPr>
        <w:t>项目调试实施完成并经验收合格后采购人支付到合同金额的95%，余款5%一年后免息支付。</w:t>
      </w:r>
    </w:p>
    <w:p w14:paraId="4A5002E6">
      <w:pPr>
        <w:pStyle w:val="28"/>
        <w:spacing w:before="120" w:after="120" w:line="360" w:lineRule="auto"/>
        <w:ind w:firstLine="422"/>
        <w:rPr>
          <w:rFonts w:hint="eastAsia" w:hAnsi="宋体" w:cs="宋体"/>
          <w:b/>
          <w:bCs/>
        </w:rPr>
      </w:pPr>
      <w:r>
        <w:rPr>
          <w:rFonts w:hint="eastAsia" w:hAnsi="宋体" w:cs="宋体"/>
          <w:b/>
          <w:bCs/>
        </w:rPr>
        <w:t>十一、税费</w:t>
      </w:r>
    </w:p>
    <w:p w14:paraId="7A8C01CD">
      <w:pPr>
        <w:pStyle w:val="28"/>
        <w:spacing w:before="120" w:after="120" w:line="360" w:lineRule="auto"/>
        <w:ind w:firstLine="420"/>
        <w:rPr>
          <w:rFonts w:hint="eastAsia" w:hAnsi="宋体" w:cs="宋体"/>
        </w:rPr>
      </w:pPr>
      <w:r>
        <w:rPr>
          <w:rFonts w:hint="eastAsia" w:hAnsi="宋体" w:cs="宋体"/>
        </w:rPr>
        <w:t>11.1本合同执行中相关的一切税费均由乙方负担。</w:t>
      </w:r>
    </w:p>
    <w:p w14:paraId="682E03EA">
      <w:pPr>
        <w:pStyle w:val="28"/>
        <w:spacing w:before="120" w:after="120" w:line="360" w:lineRule="auto"/>
        <w:ind w:firstLine="422"/>
        <w:rPr>
          <w:rFonts w:hint="eastAsia" w:hAnsi="宋体" w:cs="宋体"/>
          <w:b/>
          <w:bCs/>
        </w:rPr>
      </w:pPr>
      <w:r>
        <w:rPr>
          <w:rFonts w:hint="eastAsia" w:hAnsi="宋体" w:cs="宋体"/>
          <w:b/>
          <w:bCs/>
        </w:rPr>
        <w:t>十二、质量保证及售后服务</w:t>
      </w:r>
    </w:p>
    <w:p w14:paraId="48591E52">
      <w:pPr>
        <w:pStyle w:val="28"/>
        <w:spacing w:before="120" w:after="120" w:line="360" w:lineRule="auto"/>
        <w:ind w:firstLine="420"/>
        <w:rPr>
          <w:rFonts w:hint="eastAsia" w:hAnsi="宋体" w:cs="宋体"/>
        </w:rPr>
      </w:pPr>
      <w:r>
        <w:rPr>
          <w:rFonts w:hint="eastAsia" w:hAnsi="宋体" w:cs="宋体"/>
        </w:rPr>
        <w:t>12.1 乙方应按采购文件规定的货物及服务性能、技术要求、质量标准向甲方提供。</w:t>
      </w:r>
    </w:p>
    <w:p w14:paraId="1DED025D">
      <w:pPr>
        <w:pStyle w:val="28"/>
        <w:spacing w:before="120" w:after="120" w:line="360" w:lineRule="auto"/>
        <w:ind w:firstLine="420"/>
        <w:rPr>
          <w:rFonts w:hint="eastAsia" w:hAnsi="宋体" w:cs="宋体"/>
        </w:rPr>
      </w:pPr>
      <w:r>
        <w:rPr>
          <w:rFonts w:hint="eastAsia" w:hAnsi="宋体" w:cs="宋体"/>
        </w:rPr>
        <w:t>12.2 乙方提供的货物及服务在质量期内因服务及产品本身的质量问题发生故障，乙方应负责免费更换。对达不到技术要求者，根据实际情况，经双方协商，可按以下办法处理：</w:t>
      </w:r>
    </w:p>
    <w:p w14:paraId="288063B5">
      <w:pPr>
        <w:pStyle w:val="28"/>
        <w:spacing w:before="120" w:after="120" w:line="360" w:lineRule="auto"/>
        <w:ind w:firstLine="420"/>
        <w:rPr>
          <w:rFonts w:hint="eastAsia" w:hAnsi="宋体" w:cs="宋体"/>
        </w:rPr>
      </w:pPr>
      <w:r>
        <w:rPr>
          <w:rFonts w:hint="eastAsia" w:hAnsi="宋体" w:cs="宋体"/>
        </w:rPr>
        <w:t>⑴更换：由乙方承担所发生的全部费用。</w:t>
      </w:r>
    </w:p>
    <w:p w14:paraId="607DD9E3">
      <w:pPr>
        <w:pStyle w:val="28"/>
        <w:spacing w:before="120" w:after="120" w:line="360" w:lineRule="auto"/>
        <w:ind w:firstLine="420"/>
        <w:rPr>
          <w:rFonts w:hint="eastAsia" w:hAnsi="宋体" w:cs="宋体"/>
        </w:rPr>
      </w:pPr>
      <w:r>
        <w:rPr>
          <w:rFonts w:hint="eastAsia" w:hAnsi="宋体" w:cs="宋体"/>
        </w:rPr>
        <w:t>⑵贬值处理：由甲乙双方合议定价。</w:t>
      </w:r>
    </w:p>
    <w:p w14:paraId="571CD013">
      <w:pPr>
        <w:pStyle w:val="28"/>
        <w:spacing w:before="120" w:after="120" w:line="360" w:lineRule="auto"/>
        <w:ind w:firstLine="420"/>
        <w:rPr>
          <w:rFonts w:hint="eastAsia" w:hAnsi="宋体" w:cs="宋体"/>
        </w:rPr>
      </w:pPr>
      <w:r>
        <w:rPr>
          <w:rFonts w:hint="eastAsia" w:hAnsi="宋体" w:cs="宋体"/>
        </w:rPr>
        <w:t>⑶退还处理：乙方应退还甲方支付的合同款，同时应承担该货物及服务的直接费用（运输、保险、检验、款项利息及银行手续费等）。</w:t>
      </w:r>
    </w:p>
    <w:p w14:paraId="0767575A">
      <w:pPr>
        <w:pStyle w:val="28"/>
        <w:spacing w:before="120" w:after="120" w:line="360" w:lineRule="auto"/>
        <w:ind w:firstLine="420"/>
        <w:rPr>
          <w:rFonts w:hint="eastAsia" w:hAnsi="宋体" w:cs="宋体"/>
        </w:rPr>
      </w:pPr>
      <w:r>
        <w:rPr>
          <w:rFonts w:hint="eastAsia" w:hAnsi="宋体" w:cs="宋体"/>
        </w:rPr>
        <w:t>12.3 如在使用过程中发生质量问题，乙方在接到甲方通知后在______小时内到达甲方现场。</w:t>
      </w:r>
    </w:p>
    <w:p w14:paraId="228EC122">
      <w:pPr>
        <w:pStyle w:val="28"/>
        <w:spacing w:before="120" w:after="120" w:line="360" w:lineRule="auto"/>
        <w:ind w:firstLine="420"/>
        <w:rPr>
          <w:rFonts w:hint="eastAsia" w:hAnsi="宋体" w:cs="宋体"/>
        </w:rPr>
      </w:pPr>
      <w:r>
        <w:rPr>
          <w:rFonts w:hint="eastAsia" w:hAnsi="宋体" w:cs="宋体"/>
        </w:rPr>
        <w:t>12.4 在质保期内，乙方应对货物及服务出现的质量及安全问题负责处理解决并承担一切费用。</w:t>
      </w:r>
    </w:p>
    <w:p w14:paraId="5993F9FC">
      <w:pPr>
        <w:pStyle w:val="28"/>
        <w:spacing w:before="120" w:after="120" w:line="360" w:lineRule="auto"/>
        <w:ind w:firstLine="420"/>
        <w:rPr>
          <w:rFonts w:hint="eastAsia" w:hAnsi="宋体" w:cs="宋体"/>
        </w:rPr>
      </w:pPr>
      <w:r>
        <w:rPr>
          <w:rFonts w:hint="eastAsia" w:hAnsi="宋体" w:cs="宋体"/>
        </w:rPr>
        <w:t>12.5上述的货物及服务免费保修期为</w:t>
      </w:r>
      <w:r>
        <w:rPr>
          <w:rFonts w:hint="eastAsia" w:hAnsi="宋体" w:cs="宋体"/>
          <w:u w:val="single"/>
        </w:rPr>
        <w:t xml:space="preserve">   </w:t>
      </w:r>
      <w:r>
        <w:rPr>
          <w:rFonts w:hint="eastAsia" w:hAnsi="宋体" w:cs="宋体"/>
          <w:b/>
          <w:bCs/>
          <w:u w:val="single"/>
        </w:rPr>
        <w:t xml:space="preserve"> 5   </w:t>
      </w:r>
      <w:r>
        <w:rPr>
          <w:rFonts w:hint="eastAsia" w:hAnsi="宋体" w:cs="宋体"/>
        </w:rPr>
        <w:t>年，因人为因素出现的故障不在免费保修范围内。超过保修期的机器设备，终生维修，维修时只收部件成本费。</w:t>
      </w:r>
    </w:p>
    <w:p w14:paraId="1CEA2113">
      <w:pPr>
        <w:pStyle w:val="28"/>
        <w:spacing w:before="120" w:after="120" w:line="360" w:lineRule="auto"/>
        <w:ind w:firstLine="422"/>
        <w:rPr>
          <w:rFonts w:hint="eastAsia" w:hAnsi="宋体" w:cs="宋体"/>
          <w:b/>
          <w:bCs/>
        </w:rPr>
      </w:pPr>
      <w:r>
        <w:rPr>
          <w:rFonts w:hint="eastAsia" w:hAnsi="宋体" w:cs="宋体"/>
          <w:b/>
          <w:bCs/>
        </w:rPr>
        <w:t>十三、调试和验收</w:t>
      </w:r>
    </w:p>
    <w:p w14:paraId="5D03984A">
      <w:pPr>
        <w:pStyle w:val="28"/>
        <w:spacing w:before="120" w:after="120" w:line="360" w:lineRule="auto"/>
        <w:ind w:firstLine="420"/>
        <w:rPr>
          <w:rFonts w:hint="eastAsia" w:hAnsi="宋体" w:cs="宋体"/>
        </w:rPr>
      </w:pPr>
      <w:r>
        <w:rPr>
          <w:rFonts w:hint="eastAsia" w:hAnsi="宋体" w:cs="宋体"/>
        </w:rPr>
        <w:t>13.1 甲方对乙方提交的货物及服务依据采购文件上的技术规格要求和国家有关质量标准进行现场初步验收，外观、说明书符合采购文件技术要求的，给予签收，初步验收不合格的不予签收。交付后，甲方需在五个工作日内验收。</w:t>
      </w:r>
    </w:p>
    <w:p w14:paraId="6DF6262C">
      <w:pPr>
        <w:pStyle w:val="28"/>
        <w:spacing w:before="120" w:after="120" w:line="360" w:lineRule="auto"/>
        <w:ind w:firstLine="420"/>
        <w:rPr>
          <w:rFonts w:hint="eastAsia" w:hAnsi="宋体" w:cs="宋体"/>
        </w:rPr>
      </w:pPr>
      <w:r>
        <w:rPr>
          <w:rFonts w:hint="eastAsia" w:hAnsi="宋体" w:cs="宋体"/>
        </w:rPr>
        <w:t>13.2 乙方交付前应对货物及服务作出全面检查和对验收文件进行整理，并列出清单，作为甲方交付验收和使用的技术条件依据，检验的结果应随货物及服务交甲方。</w:t>
      </w:r>
    </w:p>
    <w:p w14:paraId="17235747">
      <w:pPr>
        <w:pStyle w:val="28"/>
        <w:spacing w:before="120" w:after="120" w:line="360" w:lineRule="auto"/>
        <w:ind w:firstLine="420"/>
        <w:rPr>
          <w:rFonts w:hint="eastAsia" w:hAnsi="宋体" w:cs="宋体"/>
        </w:rPr>
      </w:pPr>
      <w:r>
        <w:rPr>
          <w:rFonts w:hint="eastAsia" w:hAnsi="宋体" w:cs="宋体"/>
        </w:rPr>
        <w:t>13.3 甲方对乙方提供的货物及服务在使用前进行调试时，乙方需负责安装并培训甲方的使用操作人员，并协助甲方一起调试，直到符合技术要求，甲方才做最终验收。</w:t>
      </w:r>
    </w:p>
    <w:p w14:paraId="41D80AD8">
      <w:pPr>
        <w:pStyle w:val="28"/>
        <w:spacing w:before="120" w:after="120" w:line="360" w:lineRule="auto"/>
        <w:ind w:firstLine="420"/>
        <w:rPr>
          <w:rFonts w:hint="eastAsia" w:hAnsi="宋体" w:cs="宋体"/>
        </w:rPr>
      </w:pPr>
      <w:r>
        <w:rPr>
          <w:rFonts w:hint="eastAsia" w:hAnsi="宋体" w:cs="宋体"/>
        </w:rPr>
        <w:t>13.4 对技术复杂的货物及服务，甲方可请国家认可的专业检测机构参与初步验收及最终验收，并由其出具质量检测报告。</w:t>
      </w:r>
    </w:p>
    <w:p w14:paraId="1824E852">
      <w:pPr>
        <w:pStyle w:val="28"/>
        <w:spacing w:before="120" w:after="120" w:line="360" w:lineRule="auto"/>
        <w:ind w:firstLine="420"/>
        <w:rPr>
          <w:rFonts w:hint="eastAsia" w:hAnsi="宋体" w:cs="宋体"/>
        </w:rPr>
      </w:pPr>
      <w:r>
        <w:rPr>
          <w:rFonts w:hint="eastAsia" w:hAnsi="宋体" w:cs="宋体"/>
        </w:rPr>
        <w:t>13.5 验收时乙方必须在现场，验收完毕后作出验收结果报告；验收费用由甲乙双方协商解决。</w:t>
      </w:r>
    </w:p>
    <w:p w14:paraId="5AF16230">
      <w:pPr>
        <w:pStyle w:val="28"/>
        <w:spacing w:before="120" w:after="120" w:line="360" w:lineRule="auto"/>
        <w:ind w:firstLine="422"/>
        <w:rPr>
          <w:rFonts w:hint="eastAsia" w:hAnsi="宋体" w:cs="宋体"/>
          <w:b/>
          <w:bCs/>
        </w:rPr>
      </w:pPr>
      <w:r>
        <w:rPr>
          <w:rFonts w:hint="eastAsia" w:hAnsi="宋体" w:cs="宋体"/>
          <w:b/>
          <w:bCs/>
        </w:rPr>
        <w:t>十四、货物及服务包装、发运及运输</w:t>
      </w:r>
    </w:p>
    <w:p w14:paraId="7950A174">
      <w:pPr>
        <w:pStyle w:val="28"/>
        <w:spacing w:before="120" w:after="120" w:line="360" w:lineRule="auto"/>
        <w:ind w:firstLine="420"/>
        <w:rPr>
          <w:rFonts w:hint="eastAsia" w:hAnsi="宋体" w:cs="宋体"/>
        </w:rPr>
      </w:pPr>
      <w:r>
        <w:rPr>
          <w:rFonts w:hint="eastAsia" w:hAnsi="宋体" w:cs="宋体"/>
        </w:rPr>
        <w:t>14.1 乙方应在货物及服务发运前对其进行满足运输距离、防潮、防震、防锈和防破损装卸等要求包装，以保证货物及服务安全运达甲方指定地点。</w:t>
      </w:r>
    </w:p>
    <w:p w14:paraId="254ECD10">
      <w:pPr>
        <w:pStyle w:val="28"/>
        <w:spacing w:before="120" w:after="120" w:line="360" w:lineRule="auto"/>
        <w:ind w:firstLine="420"/>
        <w:rPr>
          <w:rFonts w:hint="eastAsia" w:hAnsi="宋体" w:cs="宋体"/>
        </w:rPr>
      </w:pPr>
      <w:r>
        <w:rPr>
          <w:rFonts w:hint="eastAsia" w:hAnsi="宋体" w:cs="宋体"/>
        </w:rPr>
        <w:t>14.2 使用说明书、质量检验证明书、随配附件和工具以及清单一并交付甲方。</w:t>
      </w:r>
    </w:p>
    <w:p w14:paraId="5B1DA445">
      <w:pPr>
        <w:pStyle w:val="28"/>
        <w:spacing w:before="120" w:after="120" w:line="360" w:lineRule="auto"/>
        <w:ind w:firstLine="420"/>
        <w:rPr>
          <w:rFonts w:hint="eastAsia" w:hAnsi="宋体" w:cs="宋体"/>
        </w:rPr>
      </w:pPr>
      <w:r>
        <w:rPr>
          <w:rFonts w:hint="eastAsia" w:hAnsi="宋体" w:cs="宋体"/>
        </w:rPr>
        <w:t>14.3 乙方在货物及服务发运手续办理完毕后24小时内或交付到甲方48小时前通知甲方，以准备接受交付。</w:t>
      </w:r>
    </w:p>
    <w:p w14:paraId="1B33D385">
      <w:pPr>
        <w:pStyle w:val="28"/>
        <w:spacing w:before="120" w:after="120" w:line="360" w:lineRule="auto"/>
        <w:ind w:firstLine="420"/>
        <w:rPr>
          <w:rFonts w:hint="eastAsia" w:hAnsi="宋体" w:cs="宋体"/>
        </w:rPr>
      </w:pPr>
      <w:r>
        <w:rPr>
          <w:rFonts w:hint="eastAsia" w:hAnsi="宋体" w:cs="宋体"/>
        </w:rPr>
        <w:t>14.4 货物在交付甲方前发生的风险均由乙方负责。</w:t>
      </w:r>
    </w:p>
    <w:p w14:paraId="2E4650BC">
      <w:pPr>
        <w:pStyle w:val="28"/>
        <w:spacing w:before="120" w:after="120" w:line="360" w:lineRule="auto"/>
        <w:ind w:firstLine="420"/>
        <w:rPr>
          <w:rFonts w:hint="eastAsia" w:hAnsi="宋体" w:cs="宋体"/>
        </w:rPr>
      </w:pPr>
      <w:r>
        <w:rPr>
          <w:rFonts w:hint="eastAsia" w:hAnsi="宋体" w:cs="宋体"/>
        </w:rPr>
        <w:t>14.5 货物及服务在规定的交付期限内由乙方送达甲方指定的地点视为交付，乙方同时需通知甲方货物及服务已送达。</w:t>
      </w:r>
    </w:p>
    <w:p w14:paraId="5A9417B5">
      <w:pPr>
        <w:pStyle w:val="28"/>
        <w:spacing w:before="120" w:after="120" w:line="360" w:lineRule="auto"/>
        <w:ind w:firstLine="422"/>
        <w:rPr>
          <w:rFonts w:hint="eastAsia" w:hAnsi="宋体" w:cs="宋体"/>
          <w:b/>
          <w:bCs/>
        </w:rPr>
      </w:pPr>
      <w:r>
        <w:rPr>
          <w:rFonts w:hint="eastAsia" w:hAnsi="宋体" w:cs="宋体"/>
          <w:b/>
          <w:bCs/>
        </w:rPr>
        <w:t>十五、违约责任</w:t>
      </w:r>
    </w:p>
    <w:p w14:paraId="7E5E6BAB">
      <w:pPr>
        <w:pStyle w:val="28"/>
        <w:spacing w:before="120" w:after="120" w:line="360" w:lineRule="auto"/>
        <w:ind w:firstLine="420"/>
        <w:rPr>
          <w:rFonts w:hint="eastAsia" w:hAnsi="宋体" w:cs="宋体"/>
        </w:rPr>
      </w:pPr>
      <w:r>
        <w:rPr>
          <w:rFonts w:hint="eastAsia" w:hAnsi="宋体" w:cs="宋体"/>
        </w:rPr>
        <w:t>15.1 甲方无正当理由拒收货物及服务的，甲方向乙方偿付拒收款项总值的百分之五违约金。</w:t>
      </w:r>
    </w:p>
    <w:p w14:paraId="07557510">
      <w:pPr>
        <w:pStyle w:val="28"/>
        <w:spacing w:before="120" w:after="120" w:line="360" w:lineRule="auto"/>
        <w:ind w:firstLine="420"/>
        <w:rPr>
          <w:rFonts w:hint="eastAsia" w:hAnsi="宋体" w:cs="宋体"/>
        </w:rPr>
      </w:pPr>
      <w:r>
        <w:rPr>
          <w:rFonts w:hint="eastAsia" w:hAnsi="宋体" w:cs="宋体"/>
        </w:rPr>
        <w:t>15.2 甲方无故逾期验收和办理款项支付手续的,甲方应按逾期付款总额每日万分之五向乙方支付违约金。</w:t>
      </w:r>
    </w:p>
    <w:p w14:paraId="747896B0">
      <w:pPr>
        <w:pStyle w:val="28"/>
        <w:spacing w:before="120" w:after="120" w:line="360" w:lineRule="auto"/>
        <w:ind w:firstLine="420"/>
        <w:rPr>
          <w:rFonts w:hint="eastAsia" w:hAnsi="宋体" w:cs="宋体"/>
        </w:rPr>
      </w:pPr>
      <w:r>
        <w:rPr>
          <w:rFonts w:hint="eastAsia" w:hAnsi="宋体" w:cs="宋体"/>
        </w:rPr>
        <w:t>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w:t>
      </w:r>
    </w:p>
    <w:p w14:paraId="5139E0C3">
      <w:pPr>
        <w:pStyle w:val="28"/>
        <w:spacing w:before="120" w:after="120" w:line="360" w:lineRule="auto"/>
        <w:ind w:firstLine="420"/>
        <w:rPr>
          <w:rFonts w:hint="eastAsia" w:hAnsi="宋体" w:cs="宋体"/>
        </w:rPr>
      </w:pPr>
      <w:r>
        <w:rPr>
          <w:rFonts w:hint="eastAsia" w:hAnsi="宋体" w:cs="宋体"/>
        </w:rPr>
        <w:t>15.4 乙方所交的货物及服务数量、质量不符合合同规定及采购文件规定标准的，甲方有权拒收该货物及服务，乙方愿意更换货物及服务但逾期交付的，按乙方逾期交付处理。乙方拒绝更换货物及服务的，甲方可单方面解除合同。</w:t>
      </w:r>
    </w:p>
    <w:p w14:paraId="34707860">
      <w:pPr>
        <w:pStyle w:val="28"/>
        <w:spacing w:before="120" w:after="120" w:line="360" w:lineRule="auto"/>
        <w:ind w:firstLine="422"/>
        <w:rPr>
          <w:rFonts w:hint="eastAsia" w:hAnsi="宋体" w:cs="宋体"/>
          <w:b/>
          <w:bCs/>
        </w:rPr>
      </w:pPr>
      <w:r>
        <w:rPr>
          <w:rFonts w:hint="eastAsia" w:hAnsi="宋体" w:cs="宋体"/>
          <w:b/>
          <w:bCs/>
        </w:rPr>
        <w:t>十六、不可抗力事件处理</w:t>
      </w:r>
    </w:p>
    <w:p w14:paraId="59C6C50E">
      <w:pPr>
        <w:pStyle w:val="28"/>
        <w:spacing w:before="120" w:after="120" w:line="360" w:lineRule="auto"/>
        <w:ind w:firstLine="420"/>
        <w:rPr>
          <w:rFonts w:hint="eastAsia" w:hAnsi="宋体" w:cs="宋体"/>
        </w:rPr>
      </w:pPr>
      <w:r>
        <w:rPr>
          <w:rFonts w:hint="eastAsia" w:hAnsi="宋体" w:cs="宋体"/>
        </w:rPr>
        <w:t>16.1 在合同有效期内，任何一方因不可抗力事件导致不能履行合同，则合同履行期可延长，其延长期与不可抗力影响期相同。</w:t>
      </w:r>
    </w:p>
    <w:p w14:paraId="39827D2F">
      <w:pPr>
        <w:pStyle w:val="28"/>
        <w:spacing w:before="120" w:after="120" w:line="360" w:lineRule="auto"/>
        <w:ind w:firstLine="420"/>
        <w:rPr>
          <w:rFonts w:hint="eastAsia" w:hAnsi="宋体" w:cs="宋体"/>
        </w:rPr>
      </w:pPr>
      <w:r>
        <w:rPr>
          <w:rFonts w:hint="eastAsia" w:hAnsi="宋体" w:cs="宋体"/>
        </w:rPr>
        <w:t>16.2 不可抗力事件发生后，应立即通知对方，并寄送有关权威机构出具的证明。</w:t>
      </w:r>
    </w:p>
    <w:p w14:paraId="5E093868">
      <w:pPr>
        <w:pStyle w:val="28"/>
        <w:spacing w:before="120" w:after="120" w:line="360" w:lineRule="auto"/>
        <w:ind w:firstLine="420"/>
        <w:rPr>
          <w:rFonts w:hint="eastAsia" w:hAnsi="宋体" w:cs="宋体"/>
        </w:rPr>
      </w:pPr>
      <w:r>
        <w:rPr>
          <w:rFonts w:hint="eastAsia" w:hAnsi="宋体" w:cs="宋体"/>
        </w:rPr>
        <w:t>16.3 不可抗力事件延续120天以上，双方应通过友好协商，确定是否继续履行合同。</w:t>
      </w:r>
    </w:p>
    <w:p w14:paraId="22C5E0CC">
      <w:pPr>
        <w:pStyle w:val="28"/>
        <w:spacing w:before="120" w:after="120" w:line="360" w:lineRule="auto"/>
        <w:ind w:firstLine="422"/>
        <w:rPr>
          <w:rFonts w:hint="eastAsia" w:hAnsi="宋体" w:cs="宋体"/>
          <w:b/>
          <w:bCs/>
        </w:rPr>
      </w:pPr>
      <w:r>
        <w:rPr>
          <w:rFonts w:hint="eastAsia" w:hAnsi="宋体" w:cs="宋体"/>
          <w:b/>
          <w:bCs/>
        </w:rPr>
        <w:t>十七、诉讼</w:t>
      </w:r>
    </w:p>
    <w:p w14:paraId="1C4DC4FC">
      <w:pPr>
        <w:pStyle w:val="28"/>
        <w:spacing w:before="120" w:after="120" w:line="360" w:lineRule="auto"/>
        <w:ind w:firstLine="420"/>
        <w:rPr>
          <w:rFonts w:hint="eastAsia" w:hAnsi="宋体" w:cs="宋体"/>
        </w:rPr>
      </w:pPr>
      <w:r>
        <w:rPr>
          <w:rFonts w:hint="eastAsia" w:hAnsi="宋体" w:cs="宋体"/>
        </w:rPr>
        <w:t>17.1 双方在执行合同中所发生的一切争议，应通过协商解决。如协商不成，可向合同签订地法院起诉，合同签订地在此约定为南京市栖霞区。</w:t>
      </w:r>
    </w:p>
    <w:p w14:paraId="6E8AA6F9">
      <w:pPr>
        <w:pStyle w:val="28"/>
        <w:spacing w:before="120" w:after="120" w:line="360" w:lineRule="auto"/>
        <w:ind w:firstLine="422"/>
        <w:rPr>
          <w:rFonts w:hint="eastAsia" w:hAnsi="宋体" w:cs="宋体"/>
          <w:b/>
          <w:bCs/>
        </w:rPr>
      </w:pPr>
      <w:r>
        <w:rPr>
          <w:rFonts w:hint="eastAsia" w:hAnsi="宋体" w:cs="宋体"/>
          <w:b/>
          <w:bCs/>
        </w:rPr>
        <w:t>十八、合同生效及其它</w:t>
      </w:r>
    </w:p>
    <w:p w14:paraId="58349DD5">
      <w:pPr>
        <w:pStyle w:val="28"/>
        <w:spacing w:before="120" w:after="120" w:line="360" w:lineRule="auto"/>
        <w:ind w:firstLine="420"/>
        <w:rPr>
          <w:rFonts w:hint="eastAsia" w:hAnsi="宋体" w:cs="宋体"/>
        </w:rPr>
      </w:pPr>
      <w:r>
        <w:rPr>
          <w:rFonts w:hint="eastAsia" w:hAnsi="宋体" w:cs="宋体"/>
        </w:rPr>
        <w:t>18.1 合同经双方法定代表人签章并加盖单位公章后生效。</w:t>
      </w:r>
    </w:p>
    <w:p w14:paraId="7597EC7C">
      <w:pPr>
        <w:pStyle w:val="28"/>
        <w:spacing w:before="120" w:after="120" w:line="360" w:lineRule="auto"/>
        <w:ind w:firstLine="420"/>
        <w:rPr>
          <w:rFonts w:hint="eastAsia" w:hAnsi="宋体" w:cs="宋体"/>
        </w:rPr>
      </w:pPr>
      <w:r>
        <w:rPr>
          <w:rFonts w:hint="eastAsia" w:hAnsi="宋体" w:cs="宋体"/>
        </w:rPr>
        <w:t>18.2本合同未尽事宜，遵照《民法典》有关条文执行。</w:t>
      </w:r>
    </w:p>
    <w:p w14:paraId="605857C4">
      <w:pPr>
        <w:pStyle w:val="28"/>
        <w:spacing w:before="120" w:after="120" w:line="360" w:lineRule="auto"/>
        <w:ind w:firstLine="420"/>
        <w:rPr>
          <w:rFonts w:hint="eastAsia" w:hAnsi="宋体" w:cs="宋体"/>
        </w:rPr>
      </w:pPr>
      <w:r>
        <w:rPr>
          <w:rFonts w:hint="eastAsia" w:hAnsi="宋体" w:cs="宋体"/>
        </w:rPr>
        <w:t>19.3 本合同正本一式  份，具有同等法律效力，甲方、乙方各执  份。</w:t>
      </w:r>
    </w:p>
    <w:tbl>
      <w:tblPr>
        <w:tblStyle w:val="58"/>
        <w:tblW w:w="8522" w:type="dxa"/>
        <w:tblInd w:w="135" w:type="dxa"/>
        <w:tblLayout w:type="fixed"/>
        <w:tblCellMar>
          <w:top w:w="0" w:type="dxa"/>
          <w:left w:w="108" w:type="dxa"/>
          <w:bottom w:w="0" w:type="dxa"/>
          <w:right w:w="108" w:type="dxa"/>
        </w:tblCellMar>
      </w:tblPr>
      <w:tblGrid>
        <w:gridCol w:w="4284"/>
        <w:gridCol w:w="4238"/>
      </w:tblGrid>
      <w:tr w14:paraId="2A9CE746">
        <w:tblPrEx>
          <w:tblCellMar>
            <w:top w:w="0" w:type="dxa"/>
            <w:left w:w="108" w:type="dxa"/>
            <w:bottom w:w="0" w:type="dxa"/>
            <w:right w:w="108" w:type="dxa"/>
          </w:tblCellMar>
        </w:tblPrEx>
        <w:tc>
          <w:tcPr>
            <w:tcW w:w="4284" w:type="dxa"/>
          </w:tcPr>
          <w:p w14:paraId="382BEAD2">
            <w:pPr>
              <w:pStyle w:val="28"/>
              <w:spacing w:before="120" w:after="120" w:line="360" w:lineRule="auto"/>
              <w:rPr>
                <w:rFonts w:hint="eastAsia" w:hAnsi="宋体" w:cs="宋体"/>
              </w:rPr>
            </w:pPr>
            <w:r>
              <w:rPr>
                <w:rFonts w:hint="eastAsia" w:hAnsi="宋体" w:cs="宋体"/>
              </w:rPr>
              <w:t>甲方：</w:t>
            </w:r>
          </w:p>
        </w:tc>
        <w:tc>
          <w:tcPr>
            <w:tcW w:w="4238" w:type="dxa"/>
          </w:tcPr>
          <w:p w14:paraId="07DC545B">
            <w:pPr>
              <w:pStyle w:val="28"/>
              <w:spacing w:before="120" w:after="120" w:line="360" w:lineRule="auto"/>
              <w:rPr>
                <w:rFonts w:hint="eastAsia" w:hAnsi="宋体" w:cs="宋体"/>
              </w:rPr>
            </w:pPr>
            <w:r>
              <w:rPr>
                <w:rFonts w:hint="eastAsia" w:hAnsi="宋体" w:cs="宋体"/>
              </w:rPr>
              <w:t>乙方：</w:t>
            </w:r>
          </w:p>
        </w:tc>
      </w:tr>
      <w:tr w14:paraId="7190CABE">
        <w:tblPrEx>
          <w:tblCellMar>
            <w:top w:w="0" w:type="dxa"/>
            <w:left w:w="108" w:type="dxa"/>
            <w:bottom w:w="0" w:type="dxa"/>
            <w:right w:w="108" w:type="dxa"/>
          </w:tblCellMar>
        </w:tblPrEx>
        <w:tc>
          <w:tcPr>
            <w:tcW w:w="4284" w:type="dxa"/>
          </w:tcPr>
          <w:p w14:paraId="60613574">
            <w:pPr>
              <w:pStyle w:val="28"/>
              <w:spacing w:before="120" w:after="120" w:line="360" w:lineRule="auto"/>
              <w:rPr>
                <w:rFonts w:hint="eastAsia" w:hAnsi="宋体" w:cs="宋体"/>
              </w:rPr>
            </w:pPr>
            <w:r>
              <w:rPr>
                <w:rFonts w:hint="eastAsia" w:hAnsi="宋体" w:cs="宋体"/>
              </w:rPr>
              <w:t>地址：</w:t>
            </w:r>
          </w:p>
        </w:tc>
        <w:tc>
          <w:tcPr>
            <w:tcW w:w="4238" w:type="dxa"/>
          </w:tcPr>
          <w:p w14:paraId="0C4C98DB">
            <w:pPr>
              <w:pStyle w:val="28"/>
              <w:spacing w:before="120" w:after="120" w:line="360" w:lineRule="auto"/>
              <w:rPr>
                <w:rFonts w:hint="eastAsia" w:hAnsi="宋体" w:cs="宋体"/>
              </w:rPr>
            </w:pPr>
            <w:r>
              <w:rPr>
                <w:rFonts w:hint="eastAsia" w:hAnsi="宋体" w:cs="宋体"/>
              </w:rPr>
              <w:t>地址：</w:t>
            </w:r>
          </w:p>
        </w:tc>
      </w:tr>
      <w:tr w14:paraId="37AB29C1">
        <w:tblPrEx>
          <w:tblCellMar>
            <w:top w:w="0" w:type="dxa"/>
            <w:left w:w="108" w:type="dxa"/>
            <w:bottom w:w="0" w:type="dxa"/>
            <w:right w:w="108" w:type="dxa"/>
          </w:tblCellMar>
        </w:tblPrEx>
        <w:tc>
          <w:tcPr>
            <w:tcW w:w="4284" w:type="dxa"/>
          </w:tcPr>
          <w:p w14:paraId="5ABEDC46">
            <w:pPr>
              <w:pStyle w:val="28"/>
              <w:spacing w:before="120" w:after="120" w:line="360" w:lineRule="auto"/>
              <w:rPr>
                <w:rFonts w:hint="eastAsia" w:hAnsi="宋体" w:cs="宋体"/>
              </w:rPr>
            </w:pPr>
            <w:r>
              <w:rPr>
                <w:rFonts w:hint="eastAsia" w:hAnsi="宋体" w:cs="宋体"/>
              </w:rPr>
              <w:t>法定代表人或授权代表：</w:t>
            </w:r>
          </w:p>
        </w:tc>
        <w:tc>
          <w:tcPr>
            <w:tcW w:w="4238" w:type="dxa"/>
          </w:tcPr>
          <w:p w14:paraId="67155001">
            <w:pPr>
              <w:pStyle w:val="28"/>
              <w:spacing w:before="120" w:after="120" w:line="360" w:lineRule="auto"/>
              <w:rPr>
                <w:rFonts w:hint="eastAsia" w:hAnsi="宋体" w:cs="宋体"/>
              </w:rPr>
            </w:pPr>
            <w:r>
              <w:rPr>
                <w:rFonts w:hint="eastAsia" w:hAnsi="宋体" w:cs="宋体"/>
              </w:rPr>
              <w:t>法定代表人或授权代表：</w:t>
            </w:r>
          </w:p>
        </w:tc>
      </w:tr>
      <w:tr w14:paraId="40B001C2">
        <w:tblPrEx>
          <w:tblCellMar>
            <w:top w:w="0" w:type="dxa"/>
            <w:left w:w="108" w:type="dxa"/>
            <w:bottom w:w="0" w:type="dxa"/>
            <w:right w:w="108" w:type="dxa"/>
          </w:tblCellMar>
        </w:tblPrEx>
        <w:tc>
          <w:tcPr>
            <w:tcW w:w="4284" w:type="dxa"/>
          </w:tcPr>
          <w:p w14:paraId="3C6DA076">
            <w:pPr>
              <w:pStyle w:val="28"/>
              <w:spacing w:before="120" w:after="120" w:line="360" w:lineRule="auto"/>
              <w:rPr>
                <w:rFonts w:hint="eastAsia" w:hAnsi="宋体" w:cs="宋体"/>
              </w:rPr>
            </w:pPr>
            <w:r>
              <w:rPr>
                <w:rFonts w:hint="eastAsia" w:hAnsi="宋体" w:cs="宋体"/>
              </w:rPr>
              <w:t>联系电话：</w:t>
            </w:r>
          </w:p>
        </w:tc>
        <w:tc>
          <w:tcPr>
            <w:tcW w:w="4238" w:type="dxa"/>
          </w:tcPr>
          <w:p w14:paraId="54B1B66B">
            <w:pPr>
              <w:pStyle w:val="28"/>
              <w:spacing w:before="120" w:after="120" w:line="360" w:lineRule="auto"/>
              <w:rPr>
                <w:rFonts w:hint="eastAsia" w:hAnsi="宋体" w:cs="宋体"/>
              </w:rPr>
            </w:pPr>
            <w:r>
              <w:rPr>
                <w:rFonts w:hint="eastAsia" w:hAnsi="宋体" w:cs="宋体"/>
              </w:rPr>
              <w:t>联系电话：</w:t>
            </w:r>
          </w:p>
        </w:tc>
      </w:tr>
      <w:tr w14:paraId="6659D1FE">
        <w:tblPrEx>
          <w:tblCellMar>
            <w:top w:w="0" w:type="dxa"/>
            <w:left w:w="108" w:type="dxa"/>
            <w:bottom w:w="0" w:type="dxa"/>
            <w:right w:w="108" w:type="dxa"/>
          </w:tblCellMar>
        </w:tblPrEx>
        <w:tc>
          <w:tcPr>
            <w:tcW w:w="4284" w:type="dxa"/>
          </w:tcPr>
          <w:p w14:paraId="3B4055FB">
            <w:pPr>
              <w:pStyle w:val="28"/>
              <w:spacing w:before="120" w:after="120" w:line="360" w:lineRule="auto"/>
              <w:rPr>
                <w:rFonts w:hint="eastAsia" w:hAnsi="宋体" w:cs="宋体"/>
              </w:rPr>
            </w:pPr>
            <w:r>
              <w:rPr>
                <w:rFonts w:hint="eastAsia" w:hAnsi="宋体" w:cs="宋体"/>
              </w:rPr>
              <w:t>日期：2024年  月  日</w:t>
            </w:r>
          </w:p>
        </w:tc>
        <w:tc>
          <w:tcPr>
            <w:tcW w:w="4238" w:type="dxa"/>
          </w:tcPr>
          <w:p w14:paraId="2E2F443E">
            <w:pPr>
              <w:pStyle w:val="28"/>
              <w:spacing w:before="120" w:after="120" w:line="360" w:lineRule="auto"/>
              <w:rPr>
                <w:rFonts w:hint="eastAsia" w:hAnsi="宋体" w:cs="宋体"/>
              </w:rPr>
            </w:pPr>
            <w:r>
              <w:rPr>
                <w:rFonts w:hint="eastAsia" w:hAnsi="宋体" w:cs="宋体"/>
              </w:rPr>
              <w:t>日期：   年  月  日</w:t>
            </w:r>
          </w:p>
        </w:tc>
      </w:tr>
    </w:tbl>
    <w:p w14:paraId="1ED9E474">
      <w:pPr>
        <w:rPr>
          <w:rFonts w:hint="eastAsia" w:ascii="宋体" w:hAnsi="宋体" w:eastAsia="宋体" w:cs="宋体"/>
          <w:b/>
          <w:bCs/>
          <w:kern w:val="0"/>
          <w:sz w:val="24"/>
          <w:szCs w:val="24"/>
        </w:rPr>
      </w:pP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3" w:name="_Toc179553572"/>
      <w:r>
        <w:rPr>
          <w:rFonts w:hint="eastAsia" w:ascii="宋体" w:hAnsi="宋体" w:eastAsia="宋体" w:cs="宋体"/>
          <w:b/>
          <w:bCs/>
          <w:kern w:val="0"/>
          <w:sz w:val="36"/>
          <w:szCs w:val="36"/>
        </w:rPr>
        <w:t>第六章  投标文件格式</w:t>
      </w:r>
      <w:bookmarkEnd w:id="13"/>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5F384DAD">
      <w:pPr>
        <w:spacing w:line="264" w:lineRule="auto"/>
        <w:jc w:val="center"/>
        <w:rPr>
          <w:rFonts w:hint="eastAsia" w:ascii="宋体" w:hAnsi="宋体" w:eastAsia="宋体" w:cs="金山简魏碑"/>
          <w:sz w:val="36"/>
          <w:szCs w:val="21"/>
        </w:rPr>
      </w:pPr>
    </w:p>
    <w:p w14:paraId="0E08C28A">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left"/>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附件一：投标函</w:t>
      </w: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投标函</w:t>
      </w:r>
    </w:p>
    <w:p w14:paraId="7D06521F">
      <w:pPr>
        <w:spacing w:line="360" w:lineRule="auto"/>
        <w:rPr>
          <w:rFonts w:hint="eastAsia" w:ascii="宋体" w:hAnsi="宋体" w:eastAsia="宋体" w:cs="Times New Roman"/>
          <w:sz w:val="24"/>
          <w:szCs w:val="24"/>
        </w:rPr>
      </w:pPr>
      <w:bookmarkStart w:id="14"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；交货期：</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；质保期：</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p w14:paraId="4A6888D6">
      <w:pPr>
        <w:spacing w:line="360" w:lineRule="auto"/>
        <w:rPr>
          <w:rFonts w:hint="eastAsia" w:ascii="宋体" w:hAnsi="宋体" w:eastAsia="宋体" w:cs="Times New Roman"/>
          <w:sz w:val="24"/>
          <w:szCs w:val="24"/>
        </w:rPr>
      </w:pPr>
    </w:p>
    <w:bookmarkEnd w:id="14"/>
    <w:p w14:paraId="2756614B">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附件二、分项报价表</w:t>
      </w:r>
    </w:p>
    <w:p w14:paraId="37DF5523">
      <w:pPr>
        <w:widowControl/>
        <w:adjustRightInd w:val="0"/>
        <w:spacing w:line="240" w:lineRule="atLeast"/>
        <w:rPr>
          <w:rFonts w:hint="eastAsia" w:ascii="宋体" w:hAnsi="宋体" w:eastAsia="宋体" w:cs="宋体"/>
          <w:b/>
          <w:kern w:val="0"/>
          <w:sz w:val="24"/>
          <w:szCs w:val="24"/>
          <w:lang w:val="zh-CN"/>
        </w:rPr>
      </w:pPr>
    </w:p>
    <w:p w14:paraId="15D0A35D">
      <w:pPr>
        <w:spacing w:line="360" w:lineRule="auto"/>
        <w:rPr>
          <w:rFonts w:hint="eastAsia" w:ascii="宋体" w:hAnsi="宋体" w:eastAsia="宋体" w:cs="宋体"/>
          <w:b/>
          <w:bCs/>
          <w:kern w:val="0"/>
          <w:sz w:val="24"/>
          <w:szCs w:val="24"/>
          <w:lang w:val="zh-CN"/>
        </w:rPr>
      </w:pPr>
      <w:r>
        <w:rPr>
          <w:rFonts w:hint="eastAsia" w:ascii="宋体" w:hAnsi="宋体" w:eastAsia="宋体" w:cs="宋体"/>
          <w:bCs/>
          <w:kern w:val="0"/>
          <w:sz w:val="24"/>
          <w:szCs w:val="24"/>
          <w:lang w:val="zh-CN"/>
        </w:rPr>
        <w:t>项目名称：</w:t>
      </w:r>
      <w:r>
        <w:rPr>
          <w:rFonts w:hint="eastAsia" w:ascii="宋体" w:hAnsi="宋体" w:eastAsia="宋体" w:cs="宋体"/>
          <w:b/>
          <w:bCs/>
          <w:kern w:val="0"/>
          <w:sz w:val="24"/>
          <w:szCs w:val="24"/>
          <w:lang w:val="zh-CN"/>
        </w:rPr>
        <w:t xml:space="preserve"> </w:t>
      </w:r>
    </w:p>
    <w:tbl>
      <w:tblPr>
        <w:tblStyle w:val="58"/>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45"/>
        <w:gridCol w:w="4105"/>
        <w:gridCol w:w="851"/>
        <w:gridCol w:w="992"/>
        <w:gridCol w:w="850"/>
        <w:gridCol w:w="850"/>
        <w:gridCol w:w="1277"/>
      </w:tblGrid>
      <w:tr w14:paraId="71AE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0017EEB8">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序号</w:t>
            </w:r>
          </w:p>
        </w:tc>
        <w:tc>
          <w:tcPr>
            <w:tcW w:w="1245" w:type="dxa"/>
            <w:shd w:val="clear" w:color="auto" w:fill="auto"/>
            <w:vAlign w:val="center"/>
          </w:tcPr>
          <w:p w14:paraId="312DCAB5">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设备/材料</w:t>
            </w:r>
          </w:p>
        </w:tc>
        <w:tc>
          <w:tcPr>
            <w:tcW w:w="4105" w:type="dxa"/>
            <w:shd w:val="clear" w:color="auto" w:fill="auto"/>
            <w:noWrap/>
            <w:vAlign w:val="center"/>
          </w:tcPr>
          <w:p w14:paraId="44C64EA2">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规格</w:t>
            </w:r>
            <w:r>
              <w:rPr>
                <w:rFonts w:hint="eastAsia" w:ascii="宋体" w:hAnsi="宋体" w:eastAsia="宋体" w:cs="Times New Roman"/>
                <w:b/>
                <w:bCs/>
                <w:kern w:val="0"/>
                <w:sz w:val="24"/>
                <w:szCs w:val="24"/>
              </w:rPr>
              <w:t>要求</w:t>
            </w:r>
          </w:p>
        </w:tc>
        <w:tc>
          <w:tcPr>
            <w:tcW w:w="851" w:type="dxa"/>
            <w:shd w:val="clear" w:color="auto" w:fill="auto"/>
            <w:noWrap/>
            <w:vAlign w:val="center"/>
          </w:tcPr>
          <w:p w14:paraId="06C36BE8">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数量</w:t>
            </w:r>
          </w:p>
        </w:tc>
        <w:tc>
          <w:tcPr>
            <w:tcW w:w="992" w:type="dxa"/>
            <w:shd w:val="clear" w:color="auto" w:fill="auto"/>
            <w:noWrap/>
            <w:vAlign w:val="center"/>
          </w:tcPr>
          <w:p w14:paraId="120F4899">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单位</w:t>
            </w:r>
          </w:p>
        </w:tc>
        <w:tc>
          <w:tcPr>
            <w:tcW w:w="850" w:type="dxa"/>
            <w:vAlign w:val="center"/>
          </w:tcPr>
          <w:p w14:paraId="4FC5910F">
            <w:pPr>
              <w:widowControl/>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单价</w:t>
            </w:r>
          </w:p>
        </w:tc>
        <w:tc>
          <w:tcPr>
            <w:tcW w:w="850" w:type="dxa"/>
            <w:vAlign w:val="center"/>
          </w:tcPr>
          <w:p w14:paraId="22F8C762">
            <w:pPr>
              <w:widowControl/>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合价</w:t>
            </w:r>
          </w:p>
        </w:tc>
        <w:tc>
          <w:tcPr>
            <w:tcW w:w="1277" w:type="dxa"/>
            <w:shd w:val="clear" w:color="auto" w:fill="auto"/>
            <w:noWrap/>
            <w:vAlign w:val="center"/>
          </w:tcPr>
          <w:p w14:paraId="5AF50A6D">
            <w:pPr>
              <w:widowControl/>
              <w:jc w:val="center"/>
              <w:rPr>
                <w:rFonts w:hint="eastAsia" w:ascii="宋体" w:hAnsi="宋体" w:eastAsia="宋体" w:cs="Times New Roman"/>
                <w:b/>
                <w:bCs/>
                <w:kern w:val="0"/>
                <w:sz w:val="24"/>
                <w:szCs w:val="24"/>
              </w:rPr>
            </w:pPr>
            <w:r>
              <w:rPr>
                <w:rFonts w:ascii="宋体" w:hAnsi="宋体" w:eastAsia="宋体" w:cs="Times New Roman"/>
                <w:b/>
                <w:bCs/>
                <w:kern w:val="0"/>
                <w:sz w:val="24"/>
                <w:szCs w:val="24"/>
              </w:rPr>
              <w:t>备注</w:t>
            </w:r>
          </w:p>
          <w:p w14:paraId="6F60DA97">
            <w:pPr>
              <w:widowControl/>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（品牌）</w:t>
            </w:r>
          </w:p>
        </w:tc>
      </w:tr>
      <w:tr w14:paraId="241B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56D0471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1245" w:type="dxa"/>
            <w:shd w:val="clear" w:color="auto" w:fill="auto"/>
            <w:vAlign w:val="center"/>
          </w:tcPr>
          <w:p w14:paraId="0F43306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高密AP</w:t>
            </w:r>
          </w:p>
        </w:tc>
        <w:tc>
          <w:tcPr>
            <w:tcW w:w="4105" w:type="dxa"/>
            <w:shd w:val="clear" w:color="auto" w:fill="auto"/>
            <w:vAlign w:val="center"/>
          </w:tcPr>
          <w:p w14:paraId="1FA5392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品牌：H3C</w:t>
            </w:r>
          </w:p>
          <w:p w14:paraId="208EADE4">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型号：H3C WA6530</w:t>
            </w:r>
          </w:p>
          <w:p w14:paraId="1CB1CF0F">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甲供，中标单位负责安装，</w:t>
            </w:r>
            <w:r>
              <w:rPr>
                <w:rFonts w:hint="eastAsia" w:ascii="宋体" w:hAnsi="宋体" w:eastAsia="宋体" w:cs="Times New Roman"/>
                <w:kern w:val="0"/>
                <w:sz w:val="24"/>
                <w:szCs w:val="24"/>
              </w:rPr>
              <w:t>部署</w:t>
            </w:r>
            <w:r>
              <w:rPr>
                <w:rFonts w:ascii="宋体" w:hAnsi="宋体" w:eastAsia="宋体" w:cs="Times New Roman"/>
                <w:kern w:val="0"/>
                <w:sz w:val="24"/>
                <w:szCs w:val="24"/>
              </w:rPr>
              <w:t>，调试，优化</w:t>
            </w:r>
          </w:p>
        </w:tc>
        <w:tc>
          <w:tcPr>
            <w:tcW w:w="851" w:type="dxa"/>
            <w:shd w:val="clear" w:color="auto" w:fill="auto"/>
            <w:noWrap/>
            <w:vAlign w:val="center"/>
          </w:tcPr>
          <w:p w14:paraId="6C61340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25</w:t>
            </w:r>
          </w:p>
        </w:tc>
        <w:tc>
          <w:tcPr>
            <w:tcW w:w="992" w:type="dxa"/>
            <w:shd w:val="clear" w:color="auto" w:fill="auto"/>
            <w:noWrap/>
            <w:vAlign w:val="center"/>
          </w:tcPr>
          <w:p w14:paraId="68152E7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850" w:type="dxa"/>
            <w:vAlign w:val="center"/>
          </w:tcPr>
          <w:p w14:paraId="5E022DB0">
            <w:pPr>
              <w:widowControl/>
              <w:jc w:val="center"/>
              <w:rPr>
                <w:rFonts w:hint="eastAsia" w:ascii="宋体" w:hAnsi="宋体" w:eastAsia="宋体" w:cs="Times New Roman"/>
                <w:kern w:val="0"/>
                <w:sz w:val="24"/>
                <w:szCs w:val="24"/>
              </w:rPr>
            </w:pPr>
          </w:p>
        </w:tc>
        <w:tc>
          <w:tcPr>
            <w:tcW w:w="850" w:type="dxa"/>
            <w:vAlign w:val="center"/>
          </w:tcPr>
          <w:p w14:paraId="225AD43E">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0FA4108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甲供</w:t>
            </w:r>
          </w:p>
        </w:tc>
      </w:tr>
      <w:tr w14:paraId="142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shd w:val="clear" w:color="auto" w:fill="auto"/>
            <w:noWrap/>
            <w:vAlign w:val="center"/>
          </w:tcPr>
          <w:p w14:paraId="58B19D5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w:t>
            </w:r>
          </w:p>
        </w:tc>
        <w:tc>
          <w:tcPr>
            <w:tcW w:w="1245" w:type="dxa"/>
            <w:shd w:val="clear" w:color="auto" w:fill="auto"/>
            <w:vAlign w:val="center"/>
          </w:tcPr>
          <w:p w14:paraId="30EDE03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多媒体箱（单开门）</w:t>
            </w:r>
          </w:p>
        </w:tc>
        <w:tc>
          <w:tcPr>
            <w:tcW w:w="4105" w:type="dxa"/>
            <w:shd w:val="clear" w:color="auto" w:fill="auto"/>
            <w:vAlign w:val="center"/>
          </w:tcPr>
          <w:p w14:paraId="30C0182B">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尺寸：≤370*420*110mm （高*宽*深）；支持ONU设备端口向下壁挂安装</w:t>
            </w:r>
          </w:p>
          <w:p w14:paraId="546BF034">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甲供，中标单位负责安装，</w:t>
            </w:r>
            <w:r>
              <w:rPr>
                <w:rFonts w:hint="eastAsia" w:ascii="宋体" w:hAnsi="宋体" w:eastAsia="宋体" w:cs="Times New Roman"/>
                <w:kern w:val="0"/>
                <w:sz w:val="24"/>
                <w:szCs w:val="24"/>
              </w:rPr>
              <w:t>部署</w:t>
            </w:r>
          </w:p>
        </w:tc>
        <w:tc>
          <w:tcPr>
            <w:tcW w:w="851" w:type="dxa"/>
            <w:shd w:val="clear" w:color="auto" w:fill="auto"/>
            <w:noWrap/>
            <w:vAlign w:val="center"/>
          </w:tcPr>
          <w:p w14:paraId="4BEAD8C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w:t>
            </w:r>
          </w:p>
        </w:tc>
        <w:tc>
          <w:tcPr>
            <w:tcW w:w="992" w:type="dxa"/>
            <w:shd w:val="clear" w:color="auto" w:fill="auto"/>
            <w:noWrap/>
            <w:vAlign w:val="center"/>
          </w:tcPr>
          <w:p w14:paraId="0B8B14A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490DEB1F">
            <w:pPr>
              <w:widowControl/>
              <w:jc w:val="center"/>
              <w:rPr>
                <w:rFonts w:hint="eastAsia" w:ascii="宋体" w:hAnsi="宋体" w:eastAsia="宋体" w:cs="Times New Roman"/>
                <w:kern w:val="0"/>
                <w:sz w:val="24"/>
                <w:szCs w:val="24"/>
              </w:rPr>
            </w:pPr>
          </w:p>
        </w:tc>
        <w:tc>
          <w:tcPr>
            <w:tcW w:w="850" w:type="dxa"/>
          </w:tcPr>
          <w:p w14:paraId="6EA01179">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71A2F8C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甲供</w:t>
            </w:r>
          </w:p>
        </w:tc>
      </w:tr>
      <w:tr w14:paraId="693C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vMerge w:val="restart"/>
            <w:shd w:val="clear" w:color="auto" w:fill="auto"/>
            <w:noWrap/>
            <w:vAlign w:val="center"/>
          </w:tcPr>
          <w:p w14:paraId="7970A67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w:t>
            </w:r>
          </w:p>
        </w:tc>
        <w:tc>
          <w:tcPr>
            <w:tcW w:w="1245" w:type="dxa"/>
            <w:vMerge w:val="restart"/>
            <w:shd w:val="clear" w:color="auto" w:fill="auto"/>
            <w:vAlign w:val="center"/>
          </w:tcPr>
          <w:p w14:paraId="71AE16D0">
            <w:pPr>
              <w:widowControl/>
              <w:jc w:val="center"/>
              <w:rPr>
                <w:rFonts w:hint="eastAsia"/>
                <w:color w:val="000000"/>
                <w:szCs w:val="21"/>
              </w:rPr>
            </w:pPr>
            <w:r>
              <w:rPr>
                <w:rFonts w:hint="eastAsia"/>
                <w:color w:val="000000"/>
                <w:szCs w:val="21"/>
              </w:rPr>
              <w:t>▲</w:t>
            </w:r>
          </w:p>
          <w:p w14:paraId="3EAE1AC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面板AP</w:t>
            </w:r>
          </w:p>
        </w:tc>
        <w:tc>
          <w:tcPr>
            <w:tcW w:w="4105" w:type="dxa"/>
            <w:shd w:val="clear" w:color="auto" w:fill="auto"/>
            <w:vAlign w:val="center"/>
          </w:tcPr>
          <w:p w14:paraId="38462FD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整机要求：采用双射频设计，整机4条空间流，最高协商速率≥2.975Gbps，≥1个GE电接口（上行），≥2个GE电接口（下行）。所有射频均支持802.11ax协议标准</w:t>
            </w:r>
            <w:r>
              <w:rPr>
                <w:rFonts w:hint="eastAsia" w:ascii="宋体" w:hAnsi="宋体" w:eastAsia="宋体" w:cs="Times New Roman"/>
                <w:kern w:val="0"/>
                <w:sz w:val="24"/>
                <w:szCs w:val="24"/>
              </w:rPr>
              <w:t>（提供原厂五年免费质保承诺函）</w:t>
            </w:r>
          </w:p>
        </w:tc>
        <w:tc>
          <w:tcPr>
            <w:tcW w:w="851" w:type="dxa"/>
            <w:vMerge w:val="restart"/>
            <w:shd w:val="clear" w:color="auto" w:fill="auto"/>
            <w:noWrap/>
            <w:vAlign w:val="center"/>
          </w:tcPr>
          <w:p w14:paraId="77A5318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143</w:t>
            </w:r>
          </w:p>
        </w:tc>
        <w:tc>
          <w:tcPr>
            <w:tcW w:w="992" w:type="dxa"/>
            <w:vMerge w:val="restart"/>
            <w:shd w:val="clear" w:color="auto" w:fill="auto"/>
            <w:noWrap/>
            <w:vAlign w:val="center"/>
          </w:tcPr>
          <w:p w14:paraId="1768EDC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850" w:type="dxa"/>
            <w:vMerge w:val="restart"/>
          </w:tcPr>
          <w:p w14:paraId="7E8A75F2">
            <w:pPr>
              <w:widowControl/>
              <w:jc w:val="center"/>
              <w:rPr>
                <w:rFonts w:hint="eastAsia" w:ascii="宋体" w:hAnsi="宋体" w:eastAsia="宋体" w:cs="Times New Roman"/>
                <w:kern w:val="0"/>
                <w:sz w:val="24"/>
                <w:szCs w:val="24"/>
              </w:rPr>
            </w:pPr>
          </w:p>
        </w:tc>
        <w:tc>
          <w:tcPr>
            <w:tcW w:w="850" w:type="dxa"/>
            <w:vMerge w:val="restart"/>
          </w:tcPr>
          <w:p w14:paraId="49A340EB">
            <w:pPr>
              <w:widowControl/>
              <w:jc w:val="center"/>
              <w:rPr>
                <w:rFonts w:hint="eastAsia" w:ascii="宋体" w:hAnsi="宋体" w:eastAsia="宋体" w:cs="Times New Roman"/>
                <w:kern w:val="0"/>
                <w:sz w:val="24"/>
                <w:szCs w:val="24"/>
              </w:rPr>
            </w:pPr>
          </w:p>
        </w:tc>
        <w:tc>
          <w:tcPr>
            <w:tcW w:w="1277" w:type="dxa"/>
            <w:vMerge w:val="restart"/>
            <w:shd w:val="clear" w:color="auto" w:fill="auto"/>
            <w:noWrap/>
            <w:vAlign w:val="center"/>
          </w:tcPr>
          <w:p w14:paraId="2F765231">
            <w:pPr>
              <w:widowControl/>
              <w:jc w:val="center"/>
              <w:rPr>
                <w:rFonts w:hint="eastAsia" w:ascii="宋体" w:hAnsi="宋体" w:eastAsia="宋体" w:cs="Times New Roman"/>
                <w:kern w:val="0"/>
                <w:sz w:val="24"/>
                <w:szCs w:val="24"/>
              </w:rPr>
            </w:pPr>
          </w:p>
        </w:tc>
      </w:tr>
      <w:tr w14:paraId="283A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continue"/>
            <w:vAlign w:val="center"/>
          </w:tcPr>
          <w:p w14:paraId="3E0EEA4B">
            <w:pPr>
              <w:widowControl/>
              <w:jc w:val="left"/>
              <w:rPr>
                <w:rFonts w:hint="eastAsia" w:ascii="宋体" w:hAnsi="宋体" w:eastAsia="宋体" w:cs="Times New Roman"/>
                <w:kern w:val="0"/>
                <w:sz w:val="24"/>
                <w:szCs w:val="24"/>
              </w:rPr>
            </w:pPr>
          </w:p>
        </w:tc>
        <w:tc>
          <w:tcPr>
            <w:tcW w:w="1245" w:type="dxa"/>
            <w:vMerge w:val="continue"/>
            <w:vAlign w:val="center"/>
          </w:tcPr>
          <w:p w14:paraId="5D3F0E38">
            <w:pPr>
              <w:widowControl/>
              <w:jc w:val="left"/>
              <w:rPr>
                <w:rFonts w:hint="eastAsia" w:ascii="宋体" w:hAnsi="宋体" w:eastAsia="宋体" w:cs="Times New Roman"/>
                <w:kern w:val="0"/>
                <w:sz w:val="24"/>
                <w:szCs w:val="24"/>
              </w:rPr>
            </w:pPr>
          </w:p>
        </w:tc>
        <w:tc>
          <w:tcPr>
            <w:tcW w:w="4105" w:type="dxa"/>
            <w:shd w:val="clear" w:color="auto" w:fill="auto"/>
            <w:vAlign w:val="center"/>
          </w:tcPr>
          <w:p w14:paraId="5711656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兼容要求：需与我校现网AC设备兼容，实现统一管理、集中管控</w:t>
            </w:r>
          </w:p>
        </w:tc>
        <w:tc>
          <w:tcPr>
            <w:tcW w:w="851" w:type="dxa"/>
            <w:vMerge w:val="continue"/>
            <w:vAlign w:val="center"/>
          </w:tcPr>
          <w:p w14:paraId="516C8300">
            <w:pPr>
              <w:widowControl/>
              <w:jc w:val="left"/>
              <w:rPr>
                <w:rFonts w:hint="eastAsia" w:ascii="宋体" w:hAnsi="宋体" w:eastAsia="宋体" w:cs="Times New Roman"/>
                <w:kern w:val="0"/>
                <w:sz w:val="24"/>
                <w:szCs w:val="24"/>
              </w:rPr>
            </w:pPr>
          </w:p>
        </w:tc>
        <w:tc>
          <w:tcPr>
            <w:tcW w:w="992" w:type="dxa"/>
            <w:vMerge w:val="continue"/>
            <w:vAlign w:val="center"/>
          </w:tcPr>
          <w:p w14:paraId="4AEA7BA1">
            <w:pPr>
              <w:widowControl/>
              <w:jc w:val="left"/>
              <w:rPr>
                <w:rFonts w:hint="eastAsia" w:ascii="宋体" w:hAnsi="宋体" w:eastAsia="宋体" w:cs="Times New Roman"/>
                <w:kern w:val="0"/>
                <w:sz w:val="24"/>
                <w:szCs w:val="24"/>
              </w:rPr>
            </w:pPr>
          </w:p>
        </w:tc>
        <w:tc>
          <w:tcPr>
            <w:tcW w:w="850" w:type="dxa"/>
            <w:vMerge w:val="continue"/>
          </w:tcPr>
          <w:p w14:paraId="27ECBB41">
            <w:pPr>
              <w:widowControl/>
              <w:jc w:val="left"/>
              <w:rPr>
                <w:rFonts w:hint="eastAsia" w:ascii="宋体" w:hAnsi="宋体" w:eastAsia="宋体" w:cs="Times New Roman"/>
                <w:kern w:val="0"/>
                <w:sz w:val="24"/>
                <w:szCs w:val="24"/>
              </w:rPr>
            </w:pPr>
          </w:p>
        </w:tc>
        <w:tc>
          <w:tcPr>
            <w:tcW w:w="850" w:type="dxa"/>
            <w:vMerge w:val="continue"/>
          </w:tcPr>
          <w:p w14:paraId="3866D4CB">
            <w:pPr>
              <w:widowControl/>
              <w:jc w:val="left"/>
              <w:rPr>
                <w:rFonts w:hint="eastAsia" w:ascii="宋体" w:hAnsi="宋体" w:eastAsia="宋体" w:cs="Times New Roman"/>
                <w:kern w:val="0"/>
                <w:sz w:val="24"/>
                <w:szCs w:val="24"/>
              </w:rPr>
            </w:pPr>
          </w:p>
        </w:tc>
        <w:tc>
          <w:tcPr>
            <w:tcW w:w="1277" w:type="dxa"/>
            <w:vMerge w:val="continue"/>
            <w:vAlign w:val="center"/>
          </w:tcPr>
          <w:p w14:paraId="2095A728">
            <w:pPr>
              <w:widowControl/>
              <w:jc w:val="left"/>
              <w:rPr>
                <w:rFonts w:hint="eastAsia" w:ascii="宋体" w:hAnsi="宋体" w:eastAsia="宋体" w:cs="Times New Roman"/>
                <w:kern w:val="0"/>
                <w:sz w:val="24"/>
                <w:szCs w:val="24"/>
              </w:rPr>
            </w:pPr>
          </w:p>
        </w:tc>
      </w:tr>
      <w:tr w14:paraId="5D74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vMerge w:val="restart"/>
            <w:shd w:val="clear" w:color="auto" w:fill="auto"/>
            <w:noWrap/>
            <w:vAlign w:val="center"/>
          </w:tcPr>
          <w:p w14:paraId="650B84F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1245" w:type="dxa"/>
            <w:vMerge w:val="restart"/>
            <w:shd w:val="clear" w:color="auto" w:fill="auto"/>
            <w:vAlign w:val="center"/>
          </w:tcPr>
          <w:p w14:paraId="05FA145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w:t>
            </w:r>
          </w:p>
          <w:p w14:paraId="65EBF29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4口ONU</w:t>
            </w:r>
          </w:p>
        </w:tc>
        <w:tc>
          <w:tcPr>
            <w:tcW w:w="4105" w:type="dxa"/>
            <w:shd w:val="clear" w:color="auto" w:fill="auto"/>
            <w:vAlign w:val="center"/>
          </w:tcPr>
          <w:p w14:paraId="27C5D37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PON口≥1（含对等模块），用户侧GE接口≥4，支持POE/POE+，整机供电功率≥60W</w:t>
            </w:r>
            <w:r>
              <w:rPr>
                <w:rFonts w:hint="eastAsia" w:ascii="宋体" w:hAnsi="宋体" w:eastAsia="宋体" w:cs="Times New Roman"/>
                <w:kern w:val="0"/>
                <w:sz w:val="24"/>
                <w:szCs w:val="24"/>
              </w:rPr>
              <w:t>（提供原厂五年免费质保承诺函）</w:t>
            </w:r>
          </w:p>
        </w:tc>
        <w:tc>
          <w:tcPr>
            <w:tcW w:w="851" w:type="dxa"/>
            <w:vMerge w:val="restart"/>
            <w:shd w:val="clear" w:color="auto" w:fill="auto"/>
            <w:noWrap/>
            <w:vAlign w:val="center"/>
          </w:tcPr>
          <w:p w14:paraId="6B4F0CF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992" w:type="dxa"/>
            <w:vMerge w:val="restart"/>
            <w:shd w:val="clear" w:color="auto" w:fill="auto"/>
            <w:noWrap/>
            <w:vAlign w:val="center"/>
          </w:tcPr>
          <w:p w14:paraId="52B1668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850" w:type="dxa"/>
            <w:vMerge w:val="restart"/>
          </w:tcPr>
          <w:p w14:paraId="6D71E6ED">
            <w:pPr>
              <w:widowControl/>
              <w:jc w:val="center"/>
              <w:rPr>
                <w:rFonts w:hint="eastAsia" w:ascii="宋体" w:hAnsi="宋体" w:eastAsia="宋体" w:cs="Times New Roman"/>
                <w:kern w:val="0"/>
                <w:sz w:val="24"/>
                <w:szCs w:val="24"/>
              </w:rPr>
            </w:pPr>
          </w:p>
        </w:tc>
        <w:tc>
          <w:tcPr>
            <w:tcW w:w="850" w:type="dxa"/>
            <w:vMerge w:val="restart"/>
          </w:tcPr>
          <w:p w14:paraId="464E262C">
            <w:pPr>
              <w:widowControl/>
              <w:jc w:val="center"/>
              <w:rPr>
                <w:rFonts w:hint="eastAsia" w:ascii="宋体" w:hAnsi="宋体" w:eastAsia="宋体" w:cs="Times New Roman"/>
                <w:kern w:val="0"/>
                <w:sz w:val="24"/>
                <w:szCs w:val="24"/>
              </w:rPr>
            </w:pPr>
          </w:p>
        </w:tc>
        <w:tc>
          <w:tcPr>
            <w:tcW w:w="1277" w:type="dxa"/>
            <w:vMerge w:val="restart"/>
            <w:shd w:val="clear" w:color="auto" w:fill="auto"/>
            <w:noWrap/>
            <w:vAlign w:val="center"/>
          </w:tcPr>
          <w:p w14:paraId="7AB71A30">
            <w:pPr>
              <w:widowControl/>
              <w:jc w:val="center"/>
              <w:rPr>
                <w:rFonts w:hint="eastAsia" w:ascii="宋体" w:hAnsi="宋体" w:eastAsia="宋体" w:cs="Times New Roman"/>
                <w:kern w:val="0"/>
                <w:sz w:val="24"/>
                <w:szCs w:val="24"/>
              </w:rPr>
            </w:pPr>
          </w:p>
        </w:tc>
      </w:tr>
      <w:tr w14:paraId="0B49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continue"/>
            <w:vAlign w:val="center"/>
          </w:tcPr>
          <w:p w14:paraId="5D15CF27">
            <w:pPr>
              <w:widowControl/>
              <w:jc w:val="left"/>
              <w:rPr>
                <w:rFonts w:hint="eastAsia" w:ascii="宋体" w:hAnsi="宋体" w:eastAsia="宋体" w:cs="Times New Roman"/>
                <w:kern w:val="0"/>
                <w:sz w:val="24"/>
                <w:szCs w:val="24"/>
              </w:rPr>
            </w:pPr>
          </w:p>
        </w:tc>
        <w:tc>
          <w:tcPr>
            <w:tcW w:w="1245" w:type="dxa"/>
            <w:vMerge w:val="continue"/>
            <w:vAlign w:val="center"/>
          </w:tcPr>
          <w:p w14:paraId="28B8E23D">
            <w:pPr>
              <w:widowControl/>
              <w:jc w:val="left"/>
              <w:rPr>
                <w:rFonts w:hint="eastAsia" w:ascii="宋体" w:hAnsi="宋体" w:eastAsia="宋体" w:cs="Times New Roman"/>
                <w:kern w:val="0"/>
                <w:sz w:val="24"/>
                <w:szCs w:val="24"/>
              </w:rPr>
            </w:pPr>
          </w:p>
        </w:tc>
        <w:tc>
          <w:tcPr>
            <w:tcW w:w="4105" w:type="dxa"/>
            <w:shd w:val="clear" w:color="auto" w:fill="auto"/>
            <w:vAlign w:val="center"/>
          </w:tcPr>
          <w:p w14:paraId="57CBF42F">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851" w:type="dxa"/>
            <w:vMerge w:val="continue"/>
            <w:vAlign w:val="center"/>
          </w:tcPr>
          <w:p w14:paraId="4663877D">
            <w:pPr>
              <w:widowControl/>
              <w:jc w:val="left"/>
              <w:rPr>
                <w:rFonts w:hint="eastAsia" w:ascii="宋体" w:hAnsi="宋体" w:eastAsia="宋体" w:cs="Times New Roman"/>
                <w:kern w:val="0"/>
                <w:sz w:val="24"/>
                <w:szCs w:val="24"/>
              </w:rPr>
            </w:pPr>
          </w:p>
        </w:tc>
        <w:tc>
          <w:tcPr>
            <w:tcW w:w="992" w:type="dxa"/>
            <w:vMerge w:val="continue"/>
            <w:vAlign w:val="center"/>
          </w:tcPr>
          <w:p w14:paraId="7351AD22">
            <w:pPr>
              <w:widowControl/>
              <w:jc w:val="left"/>
              <w:rPr>
                <w:rFonts w:hint="eastAsia" w:ascii="宋体" w:hAnsi="宋体" w:eastAsia="宋体" w:cs="Times New Roman"/>
                <w:kern w:val="0"/>
                <w:sz w:val="24"/>
                <w:szCs w:val="24"/>
              </w:rPr>
            </w:pPr>
          </w:p>
        </w:tc>
        <w:tc>
          <w:tcPr>
            <w:tcW w:w="850" w:type="dxa"/>
            <w:vMerge w:val="continue"/>
          </w:tcPr>
          <w:p w14:paraId="4D8091D2">
            <w:pPr>
              <w:widowControl/>
              <w:jc w:val="left"/>
              <w:rPr>
                <w:rFonts w:hint="eastAsia" w:ascii="宋体" w:hAnsi="宋体" w:eastAsia="宋体" w:cs="Times New Roman"/>
                <w:kern w:val="0"/>
                <w:sz w:val="24"/>
                <w:szCs w:val="24"/>
              </w:rPr>
            </w:pPr>
          </w:p>
        </w:tc>
        <w:tc>
          <w:tcPr>
            <w:tcW w:w="850" w:type="dxa"/>
            <w:vMerge w:val="continue"/>
          </w:tcPr>
          <w:p w14:paraId="129A7CC5">
            <w:pPr>
              <w:widowControl/>
              <w:jc w:val="left"/>
              <w:rPr>
                <w:rFonts w:hint="eastAsia" w:ascii="宋体" w:hAnsi="宋体" w:eastAsia="宋体" w:cs="Times New Roman"/>
                <w:kern w:val="0"/>
                <w:sz w:val="24"/>
                <w:szCs w:val="24"/>
              </w:rPr>
            </w:pPr>
          </w:p>
        </w:tc>
        <w:tc>
          <w:tcPr>
            <w:tcW w:w="1277" w:type="dxa"/>
            <w:vMerge w:val="continue"/>
            <w:vAlign w:val="center"/>
          </w:tcPr>
          <w:p w14:paraId="1F6BF2AE">
            <w:pPr>
              <w:widowControl/>
              <w:jc w:val="left"/>
              <w:rPr>
                <w:rFonts w:hint="eastAsia" w:ascii="宋体" w:hAnsi="宋体" w:eastAsia="宋体" w:cs="Times New Roman"/>
                <w:kern w:val="0"/>
                <w:sz w:val="24"/>
                <w:szCs w:val="24"/>
              </w:rPr>
            </w:pPr>
          </w:p>
        </w:tc>
      </w:tr>
      <w:tr w14:paraId="1174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vMerge w:val="restart"/>
            <w:shd w:val="clear" w:color="auto" w:fill="auto"/>
            <w:noWrap/>
            <w:vAlign w:val="center"/>
          </w:tcPr>
          <w:p w14:paraId="2802FF7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5</w:t>
            </w:r>
          </w:p>
        </w:tc>
        <w:tc>
          <w:tcPr>
            <w:tcW w:w="1245" w:type="dxa"/>
            <w:vMerge w:val="restart"/>
            <w:shd w:val="clear" w:color="auto" w:fill="auto"/>
            <w:vAlign w:val="center"/>
          </w:tcPr>
          <w:p w14:paraId="160F6A33">
            <w:pPr>
              <w:widowControl/>
              <w:jc w:val="center"/>
              <w:rPr>
                <w:rFonts w:hint="eastAsia"/>
                <w:color w:val="000000"/>
                <w:szCs w:val="21"/>
              </w:rPr>
            </w:pPr>
            <w:r>
              <w:rPr>
                <w:rFonts w:hint="eastAsia"/>
                <w:color w:val="000000"/>
                <w:szCs w:val="21"/>
              </w:rPr>
              <w:t>▲</w:t>
            </w:r>
          </w:p>
          <w:p w14:paraId="6869E49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8口ONU</w:t>
            </w:r>
          </w:p>
        </w:tc>
        <w:tc>
          <w:tcPr>
            <w:tcW w:w="4105" w:type="dxa"/>
            <w:shd w:val="clear" w:color="auto" w:fill="auto"/>
            <w:vAlign w:val="center"/>
          </w:tcPr>
          <w:p w14:paraId="417277CD">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PON口≥1（含对等模块），用户侧GE接口≥8，支持POE/POE+，整机供电功率≥120W</w:t>
            </w:r>
            <w:r>
              <w:rPr>
                <w:rFonts w:hint="eastAsia" w:ascii="宋体" w:hAnsi="宋体" w:eastAsia="宋体" w:cs="Times New Roman"/>
                <w:kern w:val="0"/>
                <w:sz w:val="24"/>
                <w:szCs w:val="24"/>
              </w:rPr>
              <w:t>（提供原厂五年免费质保承诺函）</w:t>
            </w:r>
          </w:p>
        </w:tc>
        <w:tc>
          <w:tcPr>
            <w:tcW w:w="851" w:type="dxa"/>
            <w:vMerge w:val="restart"/>
            <w:shd w:val="clear" w:color="auto" w:fill="auto"/>
            <w:noWrap/>
            <w:vAlign w:val="center"/>
          </w:tcPr>
          <w:p w14:paraId="5F6AC73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30</w:t>
            </w:r>
          </w:p>
        </w:tc>
        <w:tc>
          <w:tcPr>
            <w:tcW w:w="992" w:type="dxa"/>
            <w:vMerge w:val="restart"/>
            <w:shd w:val="clear" w:color="auto" w:fill="auto"/>
            <w:noWrap/>
            <w:vAlign w:val="center"/>
          </w:tcPr>
          <w:p w14:paraId="1E6A723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850" w:type="dxa"/>
            <w:vMerge w:val="restart"/>
          </w:tcPr>
          <w:p w14:paraId="044D7008">
            <w:pPr>
              <w:widowControl/>
              <w:jc w:val="center"/>
              <w:rPr>
                <w:rFonts w:hint="eastAsia" w:ascii="宋体" w:hAnsi="宋体" w:eastAsia="宋体" w:cs="Times New Roman"/>
                <w:kern w:val="0"/>
                <w:sz w:val="24"/>
                <w:szCs w:val="24"/>
              </w:rPr>
            </w:pPr>
          </w:p>
        </w:tc>
        <w:tc>
          <w:tcPr>
            <w:tcW w:w="850" w:type="dxa"/>
            <w:vMerge w:val="restart"/>
          </w:tcPr>
          <w:p w14:paraId="69B873EB">
            <w:pPr>
              <w:widowControl/>
              <w:jc w:val="center"/>
              <w:rPr>
                <w:rFonts w:hint="eastAsia" w:ascii="宋体" w:hAnsi="宋体" w:eastAsia="宋体" w:cs="Times New Roman"/>
                <w:kern w:val="0"/>
                <w:sz w:val="24"/>
                <w:szCs w:val="24"/>
              </w:rPr>
            </w:pPr>
          </w:p>
        </w:tc>
        <w:tc>
          <w:tcPr>
            <w:tcW w:w="1277" w:type="dxa"/>
            <w:vMerge w:val="restart"/>
            <w:shd w:val="clear" w:color="auto" w:fill="auto"/>
            <w:noWrap/>
            <w:vAlign w:val="center"/>
          </w:tcPr>
          <w:p w14:paraId="74AC4F8A">
            <w:pPr>
              <w:widowControl/>
              <w:jc w:val="center"/>
              <w:rPr>
                <w:rFonts w:hint="eastAsia" w:ascii="宋体" w:hAnsi="宋体" w:eastAsia="宋体" w:cs="Times New Roman"/>
                <w:kern w:val="0"/>
                <w:sz w:val="24"/>
                <w:szCs w:val="24"/>
              </w:rPr>
            </w:pPr>
          </w:p>
        </w:tc>
      </w:tr>
      <w:tr w14:paraId="0BAA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continue"/>
            <w:vAlign w:val="center"/>
          </w:tcPr>
          <w:p w14:paraId="383CF833">
            <w:pPr>
              <w:widowControl/>
              <w:jc w:val="left"/>
              <w:rPr>
                <w:rFonts w:hint="eastAsia" w:ascii="宋体" w:hAnsi="宋体" w:eastAsia="宋体" w:cs="Times New Roman"/>
                <w:kern w:val="0"/>
                <w:sz w:val="24"/>
                <w:szCs w:val="24"/>
              </w:rPr>
            </w:pPr>
          </w:p>
        </w:tc>
        <w:tc>
          <w:tcPr>
            <w:tcW w:w="1245" w:type="dxa"/>
            <w:vMerge w:val="continue"/>
            <w:vAlign w:val="center"/>
          </w:tcPr>
          <w:p w14:paraId="160A7C85">
            <w:pPr>
              <w:widowControl/>
              <w:jc w:val="left"/>
              <w:rPr>
                <w:rFonts w:hint="eastAsia" w:ascii="宋体" w:hAnsi="宋体" w:eastAsia="宋体" w:cs="Times New Roman"/>
                <w:kern w:val="0"/>
                <w:sz w:val="24"/>
                <w:szCs w:val="24"/>
              </w:rPr>
            </w:pPr>
          </w:p>
        </w:tc>
        <w:tc>
          <w:tcPr>
            <w:tcW w:w="4105" w:type="dxa"/>
            <w:shd w:val="clear" w:color="auto" w:fill="auto"/>
            <w:vAlign w:val="center"/>
          </w:tcPr>
          <w:p w14:paraId="2B57B270">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851" w:type="dxa"/>
            <w:vMerge w:val="continue"/>
            <w:vAlign w:val="center"/>
          </w:tcPr>
          <w:p w14:paraId="5E654E66">
            <w:pPr>
              <w:widowControl/>
              <w:jc w:val="left"/>
              <w:rPr>
                <w:rFonts w:hint="eastAsia" w:ascii="宋体" w:hAnsi="宋体" w:eastAsia="宋体" w:cs="Times New Roman"/>
                <w:kern w:val="0"/>
                <w:sz w:val="24"/>
                <w:szCs w:val="24"/>
              </w:rPr>
            </w:pPr>
          </w:p>
        </w:tc>
        <w:tc>
          <w:tcPr>
            <w:tcW w:w="992" w:type="dxa"/>
            <w:vMerge w:val="continue"/>
            <w:vAlign w:val="center"/>
          </w:tcPr>
          <w:p w14:paraId="6F7D857B">
            <w:pPr>
              <w:widowControl/>
              <w:jc w:val="left"/>
              <w:rPr>
                <w:rFonts w:hint="eastAsia" w:ascii="宋体" w:hAnsi="宋体" w:eastAsia="宋体" w:cs="Times New Roman"/>
                <w:kern w:val="0"/>
                <w:sz w:val="24"/>
                <w:szCs w:val="24"/>
              </w:rPr>
            </w:pPr>
          </w:p>
        </w:tc>
        <w:tc>
          <w:tcPr>
            <w:tcW w:w="850" w:type="dxa"/>
            <w:vMerge w:val="continue"/>
          </w:tcPr>
          <w:p w14:paraId="1CDFD2BB">
            <w:pPr>
              <w:widowControl/>
              <w:jc w:val="left"/>
              <w:rPr>
                <w:rFonts w:hint="eastAsia" w:ascii="宋体" w:hAnsi="宋体" w:eastAsia="宋体" w:cs="Times New Roman"/>
                <w:kern w:val="0"/>
                <w:sz w:val="24"/>
                <w:szCs w:val="24"/>
              </w:rPr>
            </w:pPr>
          </w:p>
        </w:tc>
        <w:tc>
          <w:tcPr>
            <w:tcW w:w="850" w:type="dxa"/>
            <w:vMerge w:val="continue"/>
          </w:tcPr>
          <w:p w14:paraId="1BB5EB2D">
            <w:pPr>
              <w:widowControl/>
              <w:jc w:val="left"/>
              <w:rPr>
                <w:rFonts w:hint="eastAsia" w:ascii="宋体" w:hAnsi="宋体" w:eastAsia="宋体" w:cs="Times New Roman"/>
                <w:kern w:val="0"/>
                <w:sz w:val="24"/>
                <w:szCs w:val="24"/>
              </w:rPr>
            </w:pPr>
          </w:p>
        </w:tc>
        <w:tc>
          <w:tcPr>
            <w:tcW w:w="1277" w:type="dxa"/>
            <w:vMerge w:val="continue"/>
            <w:vAlign w:val="center"/>
          </w:tcPr>
          <w:p w14:paraId="3D76A523">
            <w:pPr>
              <w:widowControl/>
              <w:jc w:val="left"/>
              <w:rPr>
                <w:rFonts w:hint="eastAsia" w:ascii="宋体" w:hAnsi="宋体" w:eastAsia="宋体" w:cs="Times New Roman"/>
                <w:kern w:val="0"/>
                <w:sz w:val="24"/>
                <w:szCs w:val="24"/>
              </w:rPr>
            </w:pPr>
          </w:p>
        </w:tc>
      </w:tr>
      <w:tr w14:paraId="163F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vMerge w:val="restart"/>
            <w:shd w:val="clear" w:color="auto" w:fill="auto"/>
            <w:noWrap/>
            <w:vAlign w:val="center"/>
          </w:tcPr>
          <w:p w14:paraId="14ECE1E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6</w:t>
            </w:r>
          </w:p>
        </w:tc>
        <w:tc>
          <w:tcPr>
            <w:tcW w:w="1245" w:type="dxa"/>
            <w:vMerge w:val="restart"/>
            <w:shd w:val="clear" w:color="auto" w:fill="auto"/>
            <w:vAlign w:val="center"/>
          </w:tcPr>
          <w:p w14:paraId="5EA24E6D">
            <w:pPr>
              <w:widowControl/>
              <w:jc w:val="center"/>
              <w:rPr>
                <w:rFonts w:hint="eastAsia"/>
                <w:color w:val="000000"/>
                <w:szCs w:val="21"/>
              </w:rPr>
            </w:pPr>
            <w:r>
              <w:rPr>
                <w:rFonts w:hint="eastAsia"/>
                <w:color w:val="000000"/>
                <w:szCs w:val="21"/>
              </w:rPr>
              <w:t>▲</w:t>
            </w:r>
          </w:p>
          <w:p w14:paraId="13A795B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16口ONU</w:t>
            </w:r>
          </w:p>
        </w:tc>
        <w:tc>
          <w:tcPr>
            <w:tcW w:w="4105" w:type="dxa"/>
            <w:shd w:val="clear" w:color="auto" w:fill="auto"/>
            <w:vAlign w:val="center"/>
          </w:tcPr>
          <w:p w14:paraId="1F26AF4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整机要求：10G PON技术标准须为：10G EPON（IEEE 802.3av标准），网络侧10G PON口≥1（含对等模块），用户侧GE接口≥8，支持POE/POE+，整机供电功率≥120W</w:t>
            </w:r>
            <w:r>
              <w:rPr>
                <w:rFonts w:hint="eastAsia" w:ascii="宋体" w:hAnsi="宋体" w:eastAsia="宋体" w:cs="Times New Roman"/>
                <w:kern w:val="0"/>
                <w:sz w:val="24"/>
                <w:szCs w:val="24"/>
              </w:rPr>
              <w:t>（提供原厂五年免费质保承诺函）</w:t>
            </w:r>
          </w:p>
        </w:tc>
        <w:tc>
          <w:tcPr>
            <w:tcW w:w="851" w:type="dxa"/>
            <w:vMerge w:val="restart"/>
            <w:shd w:val="clear" w:color="auto" w:fill="auto"/>
            <w:noWrap/>
            <w:vAlign w:val="center"/>
          </w:tcPr>
          <w:p w14:paraId="2A1FC41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992" w:type="dxa"/>
            <w:vMerge w:val="restart"/>
            <w:shd w:val="clear" w:color="auto" w:fill="auto"/>
            <w:noWrap/>
            <w:vAlign w:val="center"/>
          </w:tcPr>
          <w:p w14:paraId="1FB252C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台</w:t>
            </w:r>
          </w:p>
        </w:tc>
        <w:tc>
          <w:tcPr>
            <w:tcW w:w="850" w:type="dxa"/>
            <w:vMerge w:val="restart"/>
          </w:tcPr>
          <w:p w14:paraId="1F681F2F">
            <w:pPr>
              <w:widowControl/>
              <w:jc w:val="center"/>
              <w:rPr>
                <w:rFonts w:hint="eastAsia" w:ascii="宋体" w:hAnsi="宋体" w:eastAsia="宋体" w:cs="Times New Roman"/>
                <w:kern w:val="0"/>
                <w:sz w:val="24"/>
                <w:szCs w:val="24"/>
              </w:rPr>
            </w:pPr>
          </w:p>
        </w:tc>
        <w:tc>
          <w:tcPr>
            <w:tcW w:w="850" w:type="dxa"/>
            <w:vMerge w:val="restart"/>
          </w:tcPr>
          <w:p w14:paraId="3CE63754">
            <w:pPr>
              <w:widowControl/>
              <w:jc w:val="center"/>
              <w:rPr>
                <w:rFonts w:hint="eastAsia" w:ascii="宋体" w:hAnsi="宋体" w:eastAsia="宋体" w:cs="Times New Roman"/>
                <w:kern w:val="0"/>
                <w:sz w:val="24"/>
                <w:szCs w:val="24"/>
              </w:rPr>
            </w:pPr>
          </w:p>
        </w:tc>
        <w:tc>
          <w:tcPr>
            <w:tcW w:w="1277" w:type="dxa"/>
            <w:vMerge w:val="restart"/>
            <w:shd w:val="clear" w:color="auto" w:fill="auto"/>
            <w:noWrap/>
            <w:vAlign w:val="center"/>
          </w:tcPr>
          <w:p w14:paraId="171EDE36">
            <w:pPr>
              <w:widowControl/>
              <w:jc w:val="center"/>
              <w:rPr>
                <w:rFonts w:hint="eastAsia" w:ascii="宋体" w:hAnsi="宋体" w:eastAsia="宋体" w:cs="Times New Roman"/>
                <w:kern w:val="0"/>
                <w:sz w:val="24"/>
                <w:szCs w:val="24"/>
              </w:rPr>
            </w:pPr>
          </w:p>
        </w:tc>
      </w:tr>
      <w:tr w14:paraId="0BBC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continue"/>
            <w:vAlign w:val="center"/>
          </w:tcPr>
          <w:p w14:paraId="1B60F1B4">
            <w:pPr>
              <w:widowControl/>
              <w:jc w:val="left"/>
              <w:rPr>
                <w:rFonts w:hint="eastAsia" w:ascii="宋体" w:hAnsi="宋体" w:eastAsia="宋体" w:cs="Times New Roman"/>
                <w:kern w:val="0"/>
                <w:sz w:val="24"/>
                <w:szCs w:val="24"/>
              </w:rPr>
            </w:pPr>
          </w:p>
        </w:tc>
        <w:tc>
          <w:tcPr>
            <w:tcW w:w="1245" w:type="dxa"/>
            <w:vMerge w:val="continue"/>
            <w:vAlign w:val="center"/>
          </w:tcPr>
          <w:p w14:paraId="712543E7">
            <w:pPr>
              <w:widowControl/>
              <w:jc w:val="left"/>
              <w:rPr>
                <w:rFonts w:hint="eastAsia" w:ascii="宋体" w:hAnsi="宋体" w:eastAsia="宋体" w:cs="Times New Roman"/>
                <w:kern w:val="0"/>
                <w:sz w:val="24"/>
                <w:szCs w:val="24"/>
              </w:rPr>
            </w:pPr>
          </w:p>
        </w:tc>
        <w:tc>
          <w:tcPr>
            <w:tcW w:w="4105" w:type="dxa"/>
            <w:shd w:val="clear" w:color="auto" w:fill="auto"/>
            <w:vAlign w:val="center"/>
          </w:tcPr>
          <w:p w14:paraId="3DAAF9FE">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851" w:type="dxa"/>
            <w:vMerge w:val="continue"/>
            <w:vAlign w:val="center"/>
          </w:tcPr>
          <w:p w14:paraId="63454F87">
            <w:pPr>
              <w:widowControl/>
              <w:jc w:val="left"/>
              <w:rPr>
                <w:rFonts w:hint="eastAsia" w:ascii="宋体" w:hAnsi="宋体" w:eastAsia="宋体" w:cs="Times New Roman"/>
                <w:kern w:val="0"/>
                <w:sz w:val="24"/>
                <w:szCs w:val="24"/>
              </w:rPr>
            </w:pPr>
          </w:p>
        </w:tc>
        <w:tc>
          <w:tcPr>
            <w:tcW w:w="992" w:type="dxa"/>
            <w:vMerge w:val="continue"/>
            <w:vAlign w:val="center"/>
          </w:tcPr>
          <w:p w14:paraId="7508C81B">
            <w:pPr>
              <w:widowControl/>
              <w:jc w:val="left"/>
              <w:rPr>
                <w:rFonts w:hint="eastAsia" w:ascii="宋体" w:hAnsi="宋体" w:eastAsia="宋体" w:cs="Times New Roman"/>
                <w:kern w:val="0"/>
                <w:sz w:val="24"/>
                <w:szCs w:val="24"/>
              </w:rPr>
            </w:pPr>
          </w:p>
        </w:tc>
        <w:tc>
          <w:tcPr>
            <w:tcW w:w="850" w:type="dxa"/>
            <w:vMerge w:val="continue"/>
          </w:tcPr>
          <w:p w14:paraId="0C557FA9">
            <w:pPr>
              <w:widowControl/>
              <w:jc w:val="left"/>
              <w:rPr>
                <w:rFonts w:hint="eastAsia" w:ascii="宋体" w:hAnsi="宋体" w:eastAsia="宋体" w:cs="Times New Roman"/>
                <w:kern w:val="0"/>
                <w:sz w:val="24"/>
                <w:szCs w:val="24"/>
              </w:rPr>
            </w:pPr>
          </w:p>
        </w:tc>
        <w:tc>
          <w:tcPr>
            <w:tcW w:w="850" w:type="dxa"/>
            <w:vMerge w:val="continue"/>
          </w:tcPr>
          <w:p w14:paraId="09F57800">
            <w:pPr>
              <w:widowControl/>
              <w:jc w:val="left"/>
              <w:rPr>
                <w:rFonts w:hint="eastAsia" w:ascii="宋体" w:hAnsi="宋体" w:eastAsia="宋体" w:cs="Times New Roman"/>
                <w:kern w:val="0"/>
                <w:sz w:val="24"/>
                <w:szCs w:val="24"/>
              </w:rPr>
            </w:pPr>
          </w:p>
        </w:tc>
        <w:tc>
          <w:tcPr>
            <w:tcW w:w="1277" w:type="dxa"/>
            <w:vMerge w:val="continue"/>
            <w:vAlign w:val="center"/>
          </w:tcPr>
          <w:p w14:paraId="6CF19A62">
            <w:pPr>
              <w:widowControl/>
              <w:jc w:val="left"/>
              <w:rPr>
                <w:rFonts w:hint="eastAsia" w:ascii="宋体" w:hAnsi="宋体" w:eastAsia="宋体" w:cs="Times New Roman"/>
                <w:kern w:val="0"/>
                <w:sz w:val="24"/>
                <w:szCs w:val="24"/>
              </w:rPr>
            </w:pPr>
          </w:p>
        </w:tc>
      </w:tr>
      <w:tr w14:paraId="482F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restart"/>
            <w:shd w:val="clear" w:color="auto" w:fill="auto"/>
            <w:noWrap/>
            <w:vAlign w:val="center"/>
          </w:tcPr>
          <w:p w14:paraId="5CAF839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7</w:t>
            </w:r>
          </w:p>
        </w:tc>
        <w:tc>
          <w:tcPr>
            <w:tcW w:w="1245" w:type="dxa"/>
            <w:vMerge w:val="restart"/>
            <w:shd w:val="clear" w:color="auto" w:fill="auto"/>
            <w:vAlign w:val="center"/>
          </w:tcPr>
          <w:p w14:paraId="54573C13">
            <w:pPr>
              <w:widowControl/>
              <w:jc w:val="center"/>
              <w:rPr>
                <w:rFonts w:hint="eastAsia"/>
                <w:color w:val="000000"/>
                <w:szCs w:val="21"/>
              </w:rPr>
            </w:pPr>
            <w:r>
              <w:rPr>
                <w:rFonts w:hint="eastAsia"/>
                <w:color w:val="000000"/>
                <w:szCs w:val="21"/>
              </w:rPr>
              <w:t>▲</w:t>
            </w:r>
          </w:p>
          <w:p w14:paraId="31A87C0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OLT业务板卡</w:t>
            </w:r>
          </w:p>
        </w:tc>
        <w:tc>
          <w:tcPr>
            <w:tcW w:w="4105" w:type="dxa"/>
            <w:shd w:val="clear" w:color="auto" w:fill="auto"/>
            <w:vAlign w:val="center"/>
          </w:tcPr>
          <w:p w14:paraId="27AB955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OLT设备，业务扩展板卡，支持12端口10G EPON口(满配对等模块)，8端口万兆光口</w:t>
            </w:r>
            <w:r>
              <w:rPr>
                <w:rFonts w:hint="eastAsia" w:ascii="宋体" w:hAnsi="宋体" w:eastAsia="宋体" w:cs="Times New Roman"/>
                <w:kern w:val="0"/>
                <w:sz w:val="24"/>
                <w:szCs w:val="24"/>
              </w:rPr>
              <w:t>（提供原厂五年免费质保承诺函）</w:t>
            </w:r>
          </w:p>
        </w:tc>
        <w:tc>
          <w:tcPr>
            <w:tcW w:w="851" w:type="dxa"/>
            <w:vMerge w:val="restart"/>
            <w:shd w:val="clear" w:color="auto" w:fill="auto"/>
            <w:noWrap/>
            <w:vAlign w:val="center"/>
          </w:tcPr>
          <w:p w14:paraId="7C8D71F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992" w:type="dxa"/>
            <w:vMerge w:val="restart"/>
            <w:shd w:val="clear" w:color="auto" w:fill="auto"/>
            <w:noWrap/>
            <w:vAlign w:val="center"/>
          </w:tcPr>
          <w:p w14:paraId="595ADE0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套</w:t>
            </w:r>
          </w:p>
        </w:tc>
        <w:tc>
          <w:tcPr>
            <w:tcW w:w="850" w:type="dxa"/>
            <w:vMerge w:val="restart"/>
          </w:tcPr>
          <w:p w14:paraId="2B5326DC">
            <w:pPr>
              <w:widowControl/>
              <w:jc w:val="center"/>
              <w:rPr>
                <w:rFonts w:hint="eastAsia" w:ascii="宋体" w:hAnsi="宋体" w:eastAsia="宋体" w:cs="Times New Roman"/>
                <w:kern w:val="0"/>
                <w:sz w:val="24"/>
                <w:szCs w:val="24"/>
              </w:rPr>
            </w:pPr>
          </w:p>
        </w:tc>
        <w:tc>
          <w:tcPr>
            <w:tcW w:w="850" w:type="dxa"/>
            <w:vMerge w:val="restart"/>
          </w:tcPr>
          <w:p w14:paraId="67B215AF">
            <w:pPr>
              <w:widowControl/>
              <w:jc w:val="center"/>
              <w:rPr>
                <w:rFonts w:hint="eastAsia" w:ascii="宋体" w:hAnsi="宋体" w:eastAsia="宋体" w:cs="Times New Roman"/>
                <w:kern w:val="0"/>
                <w:sz w:val="24"/>
                <w:szCs w:val="24"/>
              </w:rPr>
            </w:pPr>
          </w:p>
        </w:tc>
        <w:tc>
          <w:tcPr>
            <w:tcW w:w="1277" w:type="dxa"/>
            <w:vMerge w:val="restart"/>
            <w:shd w:val="clear" w:color="auto" w:fill="auto"/>
            <w:vAlign w:val="center"/>
          </w:tcPr>
          <w:p w14:paraId="0E03F089">
            <w:pPr>
              <w:widowControl/>
              <w:jc w:val="center"/>
              <w:rPr>
                <w:rFonts w:hint="eastAsia" w:ascii="宋体" w:hAnsi="宋体" w:eastAsia="宋体" w:cs="Times New Roman"/>
                <w:kern w:val="0"/>
                <w:sz w:val="24"/>
                <w:szCs w:val="24"/>
              </w:rPr>
            </w:pPr>
          </w:p>
        </w:tc>
      </w:tr>
      <w:tr w14:paraId="2B2D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vMerge w:val="continue"/>
            <w:vAlign w:val="center"/>
          </w:tcPr>
          <w:p w14:paraId="5E0CC33D">
            <w:pPr>
              <w:widowControl/>
              <w:jc w:val="left"/>
              <w:rPr>
                <w:rFonts w:hint="eastAsia" w:ascii="宋体" w:hAnsi="宋体" w:eastAsia="宋体" w:cs="Times New Roman"/>
                <w:kern w:val="0"/>
                <w:sz w:val="24"/>
                <w:szCs w:val="24"/>
              </w:rPr>
            </w:pPr>
          </w:p>
        </w:tc>
        <w:tc>
          <w:tcPr>
            <w:tcW w:w="1245" w:type="dxa"/>
            <w:vMerge w:val="continue"/>
            <w:vAlign w:val="center"/>
          </w:tcPr>
          <w:p w14:paraId="2AAAE3C3">
            <w:pPr>
              <w:widowControl/>
              <w:jc w:val="left"/>
              <w:rPr>
                <w:rFonts w:hint="eastAsia" w:ascii="宋体" w:hAnsi="宋体" w:eastAsia="宋体" w:cs="Times New Roman"/>
                <w:kern w:val="0"/>
                <w:sz w:val="24"/>
                <w:szCs w:val="24"/>
              </w:rPr>
            </w:pPr>
          </w:p>
        </w:tc>
        <w:tc>
          <w:tcPr>
            <w:tcW w:w="4105" w:type="dxa"/>
            <w:shd w:val="clear" w:color="auto" w:fill="auto"/>
            <w:vAlign w:val="center"/>
          </w:tcPr>
          <w:p w14:paraId="78F0793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兼容要求：需与我校现网OLT设备兼容，实现统一管理、集中管控</w:t>
            </w:r>
          </w:p>
        </w:tc>
        <w:tc>
          <w:tcPr>
            <w:tcW w:w="851" w:type="dxa"/>
            <w:vMerge w:val="continue"/>
            <w:vAlign w:val="center"/>
          </w:tcPr>
          <w:p w14:paraId="3C664656">
            <w:pPr>
              <w:widowControl/>
              <w:jc w:val="left"/>
              <w:rPr>
                <w:rFonts w:hint="eastAsia" w:ascii="宋体" w:hAnsi="宋体" w:eastAsia="宋体" w:cs="Times New Roman"/>
                <w:kern w:val="0"/>
                <w:sz w:val="24"/>
                <w:szCs w:val="24"/>
              </w:rPr>
            </w:pPr>
          </w:p>
        </w:tc>
        <w:tc>
          <w:tcPr>
            <w:tcW w:w="992" w:type="dxa"/>
            <w:vMerge w:val="continue"/>
            <w:vAlign w:val="center"/>
          </w:tcPr>
          <w:p w14:paraId="3AA51CB2">
            <w:pPr>
              <w:widowControl/>
              <w:jc w:val="left"/>
              <w:rPr>
                <w:rFonts w:hint="eastAsia" w:ascii="宋体" w:hAnsi="宋体" w:eastAsia="宋体" w:cs="Times New Roman"/>
                <w:kern w:val="0"/>
                <w:sz w:val="24"/>
                <w:szCs w:val="24"/>
              </w:rPr>
            </w:pPr>
          </w:p>
        </w:tc>
        <w:tc>
          <w:tcPr>
            <w:tcW w:w="850" w:type="dxa"/>
            <w:vMerge w:val="continue"/>
          </w:tcPr>
          <w:p w14:paraId="050FBCD9">
            <w:pPr>
              <w:widowControl/>
              <w:jc w:val="left"/>
              <w:rPr>
                <w:rFonts w:hint="eastAsia" w:ascii="宋体" w:hAnsi="宋体" w:eastAsia="宋体" w:cs="Times New Roman"/>
                <w:kern w:val="0"/>
                <w:sz w:val="24"/>
                <w:szCs w:val="24"/>
              </w:rPr>
            </w:pPr>
          </w:p>
        </w:tc>
        <w:tc>
          <w:tcPr>
            <w:tcW w:w="850" w:type="dxa"/>
            <w:vMerge w:val="continue"/>
          </w:tcPr>
          <w:p w14:paraId="58428C56">
            <w:pPr>
              <w:widowControl/>
              <w:jc w:val="left"/>
              <w:rPr>
                <w:rFonts w:hint="eastAsia" w:ascii="宋体" w:hAnsi="宋体" w:eastAsia="宋体" w:cs="Times New Roman"/>
                <w:kern w:val="0"/>
                <w:sz w:val="24"/>
                <w:szCs w:val="24"/>
              </w:rPr>
            </w:pPr>
          </w:p>
        </w:tc>
        <w:tc>
          <w:tcPr>
            <w:tcW w:w="1277" w:type="dxa"/>
            <w:vMerge w:val="continue"/>
            <w:vAlign w:val="center"/>
          </w:tcPr>
          <w:p w14:paraId="6B4AAF21">
            <w:pPr>
              <w:widowControl/>
              <w:jc w:val="left"/>
              <w:rPr>
                <w:rFonts w:hint="eastAsia" w:ascii="宋体" w:hAnsi="宋体" w:eastAsia="宋体" w:cs="Times New Roman"/>
                <w:kern w:val="0"/>
                <w:sz w:val="24"/>
                <w:szCs w:val="24"/>
              </w:rPr>
            </w:pPr>
          </w:p>
        </w:tc>
      </w:tr>
      <w:tr w14:paraId="4F3B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shd w:val="clear" w:color="auto" w:fill="auto"/>
            <w:noWrap/>
            <w:vAlign w:val="center"/>
          </w:tcPr>
          <w:p w14:paraId="0A22542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8</w:t>
            </w:r>
          </w:p>
        </w:tc>
        <w:tc>
          <w:tcPr>
            <w:tcW w:w="1245" w:type="dxa"/>
            <w:shd w:val="clear" w:color="auto" w:fill="auto"/>
            <w:vAlign w:val="center"/>
          </w:tcPr>
          <w:p w14:paraId="620346D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2芯单模软铠装室内光缆</w:t>
            </w:r>
          </w:p>
        </w:tc>
        <w:tc>
          <w:tcPr>
            <w:tcW w:w="4105" w:type="dxa"/>
            <w:shd w:val="clear" w:color="auto" w:fill="auto"/>
            <w:vAlign w:val="center"/>
          </w:tcPr>
          <w:p w14:paraId="32C27F4D">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0.6mm着色紧包光纤x2芯；螺旋钢带铠装：外径2.1mm，单边壁厚:0.22mm； 光缆保护套：3.3mm±0.10mm，单边厚度：0.40mm；最大衰减：0.4dB/km@1310nm； 0.3dB/km@1550nm；工作稳温度：低烟无卤（LSZH） -40℃至+85℃；光缆外径：3.3mm±0.10mm</w:t>
            </w:r>
          </w:p>
        </w:tc>
        <w:tc>
          <w:tcPr>
            <w:tcW w:w="851" w:type="dxa"/>
            <w:shd w:val="clear" w:color="auto" w:fill="auto"/>
            <w:noWrap/>
            <w:vAlign w:val="center"/>
          </w:tcPr>
          <w:p w14:paraId="6A9A7FD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3540</w:t>
            </w:r>
          </w:p>
        </w:tc>
        <w:tc>
          <w:tcPr>
            <w:tcW w:w="992" w:type="dxa"/>
            <w:shd w:val="clear" w:color="auto" w:fill="auto"/>
            <w:noWrap/>
            <w:vAlign w:val="center"/>
          </w:tcPr>
          <w:p w14:paraId="4427574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850" w:type="dxa"/>
          </w:tcPr>
          <w:p w14:paraId="0DBD0833">
            <w:pPr>
              <w:widowControl/>
              <w:jc w:val="center"/>
              <w:rPr>
                <w:rFonts w:hint="eastAsia" w:ascii="宋体" w:hAnsi="宋体" w:eastAsia="宋体" w:cs="Times New Roman"/>
                <w:kern w:val="0"/>
                <w:sz w:val="24"/>
                <w:szCs w:val="24"/>
              </w:rPr>
            </w:pPr>
          </w:p>
        </w:tc>
        <w:tc>
          <w:tcPr>
            <w:tcW w:w="850" w:type="dxa"/>
          </w:tcPr>
          <w:p w14:paraId="2A5DC669">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344B7E5B">
            <w:pPr>
              <w:widowControl/>
              <w:jc w:val="center"/>
              <w:rPr>
                <w:rFonts w:hint="eastAsia" w:ascii="宋体" w:hAnsi="宋体" w:eastAsia="宋体" w:cs="Times New Roman"/>
                <w:kern w:val="0"/>
                <w:sz w:val="24"/>
                <w:szCs w:val="24"/>
              </w:rPr>
            </w:pPr>
          </w:p>
        </w:tc>
      </w:tr>
      <w:tr w14:paraId="41D4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57" w:type="dxa"/>
            <w:shd w:val="clear" w:color="auto" w:fill="auto"/>
            <w:noWrap/>
            <w:vAlign w:val="center"/>
          </w:tcPr>
          <w:p w14:paraId="2E4BD13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9</w:t>
            </w:r>
          </w:p>
        </w:tc>
        <w:tc>
          <w:tcPr>
            <w:tcW w:w="1245" w:type="dxa"/>
            <w:shd w:val="clear" w:color="auto" w:fill="auto"/>
            <w:vAlign w:val="center"/>
          </w:tcPr>
          <w:p w14:paraId="2DA53545">
            <w:pPr>
              <w:widowControl/>
              <w:jc w:val="center"/>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12芯室外单模铠装光缆</w:t>
            </w:r>
          </w:p>
        </w:tc>
        <w:tc>
          <w:tcPr>
            <w:tcW w:w="4105" w:type="dxa"/>
            <w:shd w:val="clear" w:color="auto" w:fill="auto"/>
            <w:vAlign w:val="center"/>
          </w:tcPr>
          <w:p w14:paraId="35F96432">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符合标准：YD/T901-2018 光纤衰减：@1310nm ≤0.36 dB/km，@1550nm ≤0.22 dB/km；光纤规格：B1.3（G652D）；包层不圆度：≤1％ 模场直径（MDF）：@1310nm 9.2±0.4μm；光纤折射率：@1310nm  1.466，@1550nm  1.467 铠装层：双面涂塑铝带+双面涂塑钢带 中心加强件： 磷化圆钢丝 静态/动态弯曲半径： 10D/20D 允许压扁力(长期/短期)（N/100mm）： 1000/3000 允许拉伸力(长期/短期)（N）：1000/3000 光缆芯数：12芯</w:t>
            </w:r>
          </w:p>
        </w:tc>
        <w:tc>
          <w:tcPr>
            <w:tcW w:w="851" w:type="dxa"/>
            <w:shd w:val="clear" w:color="auto" w:fill="auto"/>
            <w:noWrap/>
            <w:vAlign w:val="center"/>
          </w:tcPr>
          <w:p w14:paraId="3B859A9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1050</w:t>
            </w:r>
          </w:p>
        </w:tc>
        <w:tc>
          <w:tcPr>
            <w:tcW w:w="992" w:type="dxa"/>
            <w:shd w:val="clear" w:color="auto" w:fill="auto"/>
            <w:noWrap/>
            <w:vAlign w:val="center"/>
          </w:tcPr>
          <w:p w14:paraId="0F89920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850" w:type="dxa"/>
          </w:tcPr>
          <w:p w14:paraId="482768C6">
            <w:pPr>
              <w:widowControl/>
              <w:jc w:val="center"/>
              <w:rPr>
                <w:rFonts w:hint="eastAsia" w:ascii="宋体" w:hAnsi="宋体" w:eastAsia="宋体" w:cs="Times New Roman"/>
                <w:kern w:val="0"/>
                <w:sz w:val="24"/>
                <w:szCs w:val="24"/>
              </w:rPr>
            </w:pPr>
          </w:p>
        </w:tc>
        <w:tc>
          <w:tcPr>
            <w:tcW w:w="850" w:type="dxa"/>
          </w:tcPr>
          <w:p w14:paraId="68B56C6B">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2BB46007">
            <w:pPr>
              <w:widowControl/>
              <w:jc w:val="center"/>
              <w:rPr>
                <w:rFonts w:hint="eastAsia" w:ascii="宋体" w:hAnsi="宋体" w:eastAsia="宋体" w:cs="Times New Roman"/>
                <w:kern w:val="0"/>
                <w:sz w:val="24"/>
                <w:szCs w:val="24"/>
              </w:rPr>
            </w:pPr>
          </w:p>
        </w:tc>
      </w:tr>
      <w:tr w14:paraId="79CB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shd w:val="clear" w:color="auto" w:fill="auto"/>
            <w:noWrap/>
            <w:vAlign w:val="center"/>
          </w:tcPr>
          <w:p w14:paraId="1786F4E9">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w:t>
            </w:r>
          </w:p>
        </w:tc>
        <w:tc>
          <w:tcPr>
            <w:tcW w:w="1245" w:type="dxa"/>
            <w:shd w:val="clear" w:color="auto" w:fill="auto"/>
            <w:vAlign w:val="center"/>
          </w:tcPr>
          <w:p w14:paraId="2F6E4BA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六类网线</w:t>
            </w:r>
          </w:p>
        </w:tc>
        <w:tc>
          <w:tcPr>
            <w:tcW w:w="4105" w:type="dxa"/>
            <w:shd w:val="clear" w:color="auto" w:fill="auto"/>
            <w:vAlign w:val="center"/>
          </w:tcPr>
          <w:p w14:paraId="35588083">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国标非屏蔽网线；绝缘层：高密度聚乙烯（HDPE）厚度：0.2mm；外护套：聚氯乙烯（PVC）或低烟无卤聚烯烃（LSZH)厚度：0.55mm；线缆外径：6.3mm；最大电容：≤5.6nF/100m；特性阻抗: (f：1-250MHz)100±15Ω</w:t>
            </w:r>
          </w:p>
        </w:tc>
        <w:tc>
          <w:tcPr>
            <w:tcW w:w="851" w:type="dxa"/>
            <w:shd w:val="clear" w:color="auto" w:fill="auto"/>
            <w:noWrap/>
            <w:vAlign w:val="center"/>
          </w:tcPr>
          <w:p w14:paraId="1F46E25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12</w:t>
            </w:r>
          </w:p>
        </w:tc>
        <w:tc>
          <w:tcPr>
            <w:tcW w:w="992" w:type="dxa"/>
            <w:shd w:val="clear" w:color="auto" w:fill="auto"/>
            <w:noWrap/>
            <w:vAlign w:val="center"/>
          </w:tcPr>
          <w:p w14:paraId="7D6587F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箱</w:t>
            </w:r>
          </w:p>
        </w:tc>
        <w:tc>
          <w:tcPr>
            <w:tcW w:w="850" w:type="dxa"/>
          </w:tcPr>
          <w:p w14:paraId="21DF3B8C">
            <w:pPr>
              <w:widowControl/>
              <w:jc w:val="center"/>
              <w:rPr>
                <w:rFonts w:hint="eastAsia" w:ascii="宋体" w:hAnsi="宋体" w:eastAsia="宋体" w:cs="Times New Roman"/>
                <w:kern w:val="0"/>
                <w:sz w:val="24"/>
                <w:szCs w:val="24"/>
              </w:rPr>
            </w:pPr>
          </w:p>
        </w:tc>
        <w:tc>
          <w:tcPr>
            <w:tcW w:w="850" w:type="dxa"/>
          </w:tcPr>
          <w:p w14:paraId="7D9BAD08">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3B1D9ADF">
            <w:pPr>
              <w:widowControl/>
              <w:jc w:val="center"/>
              <w:rPr>
                <w:rFonts w:hint="eastAsia" w:ascii="宋体" w:hAnsi="宋体" w:eastAsia="宋体" w:cs="Times New Roman"/>
                <w:kern w:val="0"/>
                <w:sz w:val="24"/>
                <w:szCs w:val="24"/>
              </w:rPr>
            </w:pPr>
          </w:p>
        </w:tc>
      </w:tr>
      <w:tr w14:paraId="501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shd w:val="clear" w:color="auto" w:fill="auto"/>
            <w:noWrap/>
            <w:vAlign w:val="center"/>
          </w:tcPr>
          <w:p w14:paraId="00BCC0A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11</w:t>
            </w:r>
          </w:p>
        </w:tc>
        <w:tc>
          <w:tcPr>
            <w:tcW w:w="1245" w:type="dxa"/>
            <w:shd w:val="clear" w:color="auto" w:fill="auto"/>
            <w:vAlign w:val="center"/>
          </w:tcPr>
          <w:p w14:paraId="6436C81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六类水晶头</w:t>
            </w:r>
          </w:p>
        </w:tc>
        <w:tc>
          <w:tcPr>
            <w:tcW w:w="4105" w:type="dxa"/>
            <w:shd w:val="clear" w:color="auto" w:fill="auto"/>
            <w:vAlign w:val="center"/>
          </w:tcPr>
          <w:p w14:paraId="24A7E265">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塑塑胶壳：聚碳酸脂，UL-94-VO or UL-94-V2；金片：铜合金；导体：单股线26AWG；芯线直径：Φ96～Φ1.02均可适用；绝缘电阻≥100MΩ；耐力测试：至少150次之插拔测试</w:t>
            </w:r>
          </w:p>
        </w:tc>
        <w:tc>
          <w:tcPr>
            <w:tcW w:w="851" w:type="dxa"/>
            <w:shd w:val="clear" w:color="auto" w:fill="auto"/>
            <w:noWrap/>
            <w:vAlign w:val="center"/>
          </w:tcPr>
          <w:p w14:paraId="57A5042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336</w:t>
            </w:r>
          </w:p>
        </w:tc>
        <w:tc>
          <w:tcPr>
            <w:tcW w:w="992" w:type="dxa"/>
            <w:shd w:val="clear" w:color="auto" w:fill="auto"/>
            <w:noWrap/>
            <w:vAlign w:val="center"/>
          </w:tcPr>
          <w:p w14:paraId="709DF0C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6698C8E3">
            <w:pPr>
              <w:widowControl/>
              <w:jc w:val="center"/>
              <w:rPr>
                <w:rFonts w:hint="eastAsia" w:ascii="宋体" w:hAnsi="宋体" w:eastAsia="宋体" w:cs="Times New Roman"/>
                <w:kern w:val="0"/>
                <w:sz w:val="24"/>
                <w:szCs w:val="24"/>
              </w:rPr>
            </w:pPr>
          </w:p>
        </w:tc>
        <w:tc>
          <w:tcPr>
            <w:tcW w:w="850" w:type="dxa"/>
          </w:tcPr>
          <w:p w14:paraId="28D121C0">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762A4E71">
            <w:pPr>
              <w:widowControl/>
              <w:jc w:val="center"/>
              <w:rPr>
                <w:rFonts w:hint="eastAsia" w:ascii="宋体" w:hAnsi="宋体" w:eastAsia="宋体" w:cs="Times New Roman"/>
                <w:kern w:val="0"/>
                <w:sz w:val="24"/>
                <w:szCs w:val="24"/>
              </w:rPr>
            </w:pPr>
          </w:p>
        </w:tc>
      </w:tr>
      <w:tr w14:paraId="136D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173E4E6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12</w:t>
            </w:r>
          </w:p>
        </w:tc>
        <w:tc>
          <w:tcPr>
            <w:tcW w:w="1245" w:type="dxa"/>
            <w:shd w:val="clear" w:color="auto" w:fill="auto"/>
            <w:vAlign w:val="center"/>
          </w:tcPr>
          <w:p w14:paraId="4C5288B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多媒体箱（单开门）</w:t>
            </w:r>
          </w:p>
        </w:tc>
        <w:tc>
          <w:tcPr>
            <w:tcW w:w="4105" w:type="dxa"/>
            <w:shd w:val="clear" w:color="auto" w:fill="auto"/>
            <w:vAlign w:val="center"/>
          </w:tcPr>
          <w:p w14:paraId="15533F94">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尺寸：≤370*420*110mm （高*宽*深）；钢板壁厚≥1.2mm,配置锁芯、插排、熔接等配件材料；采用优质钣金材质，表面静电喷涂，有较好的机械强度，外型美观大方，坚固耐用；箱体采用强、弱电分离的进线方式；箱体内配备背板，支持ONU设备端口向下壁挂安装于多媒体箱内部；箱体底部具备观察孔，无需开箱即可观察设备运行指示灯，实现快速维护；满足光纤弯曲半径大于30mm，具有安全可靠的光纤接续</w:t>
            </w:r>
          </w:p>
        </w:tc>
        <w:tc>
          <w:tcPr>
            <w:tcW w:w="851" w:type="dxa"/>
            <w:shd w:val="clear" w:color="auto" w:fill="auto"/>
            <w:noWrap/>
            <w:vAlign w:val="center"/>
          </w:tcPr>
          <w:p w14:paraId="35BAD09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23</w:t>
            </w:r>
          </w:p>
        </w:tc>
        <w:tc>
          <w:tcPr>
            <w:tcW w:w="992" w:type="dxa"/>
            <w:shd w:val="clear" w:color="auto" w:fill="auto"/>
            <w:noWrap/>
            <w:vAlign w:val="center"/>
          </w:tcPr>
          <w:p w14:paraId="5AE19AD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071F716B">
            <w:pPr>
              <w:widowControl/>
              <w:jc w:val="center"/>
              <w:rPr>
                <w:rFonts w:hint="eastAsia" w:ascii="宋体" w:hAnsi="宋体" w:eastAsia="宋体" w:cs="Times New Roman"/>
                <w:kern w:val="0"/>
                <w:sz w:val="24"/>
                <w:szCs w:val="24"/>
              </w:rPr>
            </w:pPr>
          </w:p>
        </w:tc>
        <w:tc>
          <w:tcPr>
            <w:tcW w:w="850" w:type="dxa"/>
          </w:tcPr>
          <w:p w14:paraId="33E86702">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1BFEA784">
            <w:pPr>
              <w:widowControl/>
              <w:jc w:val="center"/>
              <w:rPr>
                <w:rFonts w:hint="eastAsia" w:ascii="宋体" w:hAnsi="宋体" w:eastAsia="宋体" w:cs="Times New Roman"/>
                <w:kern w:val="0"/>
                <w:sz w:val="24"/>
                <w:szCs w:val="24"/>
              </w:rPr>
            </w:pPr>
          </w:p>
        </w:tc>
      </w:tr>
      <w:tr w14:paraId="496D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7" w:type="dxa"/>
            <w:shd w:val="clear" w:color="auto" w:fill="auto"/>
            <w:noWrap/>
            <w:vAlign w:val="center"/>
          </w:tcPr>
          <w:p w14:paraId="5F2E473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13</w:t>
            </w:r>
          </w:p>
        </w:tc>
        <w:tc>
          <w:tcPr>
            <w:tcW w:w="1245" w:type="dxa"/>
            <w:shd w:val="clear" w:color="auto" w:fill="auto"/>
            <w:vAlign w:val="center"/>
          </w:tcPr>
          <w:p w14:paraId="0D6E49F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2口熔接盒（SC口）</w:t>
            </w:r>
          </w:p>
        </w:tc>
        <w:tc>
          <w:tcPr>
            <w:tcW w:w="4105" w:type="dxa"/>
            <w:shd w:val="clear" w:color="auto" w:fill="auto"/>
            <w:vAlign w:val="center"/>
          </w:tcPr>
          <w:p w14:paraId="5B186BC9">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端口数：2口（SC口）；熔纤量：最大为2芯；尺寸：≤120*70*35mm(长宽厚)；材质：采用优质钣金，表面静电喷涂</w:t>
            </w:r>
          </w:p>
        </w:tc>
        <w:tc>
          <w:tcPr>
            <w:tcW w:w="851" w:type="dxa"/>
            <w:shd w:val="clear" w:color="auto" w:fill="auto"/>
            <w:noWrap/>
            <w:vAlign w:val="center"/>
          </w:tcPr>
          <w:p w14:paraId="52EBDCC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32</w:t>
            </w:r>
          </w:p>
        </w:tc>
        <w:tc>
          <w:tcPr>
            <w:tcW w:w="992" w:type="dxa"/>
            <w:shd w:val="clear" w:color="auto" w:fill="auto"/>
            <w:noWrap/>
            <w:vAlign w:val="center"/>
          </w:tcPr>
          <w:p w14:paraId="3D829C0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55896D43">
            <w:pPr>
              <w:widowControl/>
              <w:jc w:val="center"/>
              <w:rPr>
                <w:rFonts w:hint="eastAsia" w:ascii="宋体" w:hAnsi="宋体" w:eastAsia="宋体" w:cs="Times New Roman"/>
                <w:kern w:val="0"/>
                <w:sz w:val="24"/>
                <w:szCs w:val="24"/>
              </w:rPr>
            </w:pPr>
          </w:p>
        </w:tc>
        <w:tc>
          <w:tcPr>
            <w:tcW w:w="850" w:type="dxa"/>
          </w:tcPr>
          <w:p w14:paraId="0ED812F5">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56A9C164">
            <w:pPr>
              <w:widowControl/>
              <w:jc w:val="center"/>
              <w:rPr>
                <w:rFonts w:hint="eastAsia" w:ascii="宋体" w:hAnsi="宋体" w:eastAsia="宋体" w:cs="Times New Roman"/>
                <w:kern w:val="0"/>
                <w:sz w:val="24"/>
                <w:szCs w:val="24"/>
              </w:rPr>
            </w:pPr>
          </w:p>
        </w:tc>
      </w:tr>
      <w:tr w14:paraId="4724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75B093A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w:t>
            </w:r>
          </w:p>
        </w:tc>
        <w:tc>
          <w:tcPr>
            <w:tcW w:w="1245" w:type="dxa"/>
            <w:shd w:val="clear" w:color="auto" w:fill="auto"/>
            <w:vAlign w:val="center"/>
          </w:tcPr>
          <w:p w14:paraId="121D9B8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SC法兰盘</w:t>
            </w:r>
          </w:p>
        </w:tc>
        <w:tc>
          <w:tcPr>
            <w:tcW w:w="4105" w:type="dxa"/>
            <w:shd w:val="clear" w:color="auto" w:fill="auto"/>
            <w:vAlign w:val="center"/>
          </w:tcPr>
          <w:p w14:paraId="14E366ED">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SC单模法兰盘；材料：陶瓷套管；插入损耗（含重复性）：≤0.2dB；重复性：≥500次；互换性：≤0.2dB</w:t>
            </w:r>
          </w:p>
        </w:tc>
        <w:tc>
          <w:tcPr>
            <w:tcW w:w="851" w:type="dxa"/>
            <w:shd w:val="clear" w:color="auto" w:fill="auto"/>
            <w:noWrap/>
            <w:vAlign w:val="center"/>
          </w:tcPr>
          <w:p w14:paraId="72F05B6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176</w:t>
            </w:r>
          </w:p>
        </w:tc>
        <w:tc>
          <w:tcPr>
            <w:tcW w:w="992" w:type="dxa"/>
            <w:shd w:val="clear" w:color="auto" w:fill="auto"/>
            <w:noWrap/>
            <w:vAlign w:val="center"/>
          </w:tcPr>
          <w:p w14:paraId="09EE647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4AC711EF">
            <w:pPr>
              <w:widowControl/>
              <w:jc w:val="center"/>
              <w:rPr>
                <w:rFonts w:hint="eastAsia" w:ascii="宋体" w:hAnsi="宋体" w:eastAsia="宋体" w:cs="Times New Roman"/>
                <w:kern w:val="0"/>
                <w:sz w:val="24"/>
                <w:szCs w:val="24"/>
              </w:rPr>
            </w:pPr>
          </w:p>
        </w:tc>
        <w:tc>
          <w:tcPr>
            <w:tcW w:w="850" w:type="dxa"/>
          </w:tcPr>
          <w:p w14:paraId="6E3A5348">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1990128D">
            <w:pPr>
              <w:widowControl/>
              <w:jc w:val="center"/>
              <w:rPr>
                <w:rFonts w:hint="eastAsia" w:ascii="宋体" w:hAnsi="宋体" w:eastAsia="宋体" w:cs="Times New Roman"/>
                <w:kern w:val="0"/>
                <w:sz w:val="24"/>
                <w:szCs w:val="24"/>
              </w:rPr>
            </w:pPr>
          </w:p>
        </w:tc>
      </w:tr>
      <w:tr w14:paraId="1F3D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5D767AF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15</w:t>
            </w:r>
          </w:p>
        </w:tc>
        <w:tc>
          <w:tcPr>
            <w:tcW w:w="1245" w:type="dxa"/>
            <w:shd w:val="clear" w:color="auto" w:fill="auto"/>
            <w:vAlign w:val="center"/>
          </w:tcPr>
          <w:p w14:paraId="2558B01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SC单芯尾纤</w:t>
            </w:r>
          </w:p>
        </w:tc>
        <w:tc>
          <w:tcPr>
            <w:tcW w:w="4105" w:type="dxa"/>
            <w:shd w:val="clear" w:color="auto" w:fill="auto"/>
            <w:vAlign w:val="center"/>
          </w:tcPr>
          <w:p w14:paraId="566787E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SC单模单芯尾纤；依工业标准100%光学测试；低插入损耗，高回波损耗；重复插拔测试：≤0.25dB，每500次插拔</w:t>
            </w:r>
          </w:p>
        </w:tc>
        <w:tc>
          <w:tcPr>
            <w:tcW w:w="851" w:type="dxa"/>
            <w:shd w:val="clear" w:color="auto" w:fill="auto"/>
            <w:noWrap/>
            <w:vAlign w:val="center"/>
          </w:tcPr>
          <w:p w14:paraId="5CD612F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176</w:t>
            </w:r>
          </w:p>
        </w:tc>
        <w:tc>
          <w:tcPr>
            <w:tcW w:w="992" w:type="dxa"/>
            <w:shd w:val="clear" w:color="auto" w:fill="auto"/>
            <w:noWrap/>
            <w:vAlign w:val="center"/>
          </w:tcPr>
          <w:p w14:paraId="1BA3853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850" w:type="dxa"/>
          </w:tcPr>
          <w:p w14:paraId="10DB3297">
            <w:pPr>
              <w:widowControl/>
              <w:jc w:val="center"/>
              <w:rPr>
                <w:rFonts w:hint="eastAsia" w:ascii="宋体" w:hAnsi="宋体" w:eastAsia="宋体" w:cs="Times New Roman"/>
                <w:kern w:val="0"/>
                <w:sz w:val="24"/>
                <w:szCs w:val="24"/>
              </w:rPr>
            </w:pPr>
          </w:p>
        </w:tc>
        <w:tc>
          <w:tcPr>
            <w:tcW w:w="850" w:type="dxa"/>
          </w:tcPr>
          <w:p w14:paraId="01B374D9">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6B39B0B8">
            <w:pPr>
              <w:widowControl/>
              <w:jc w:val="center"/>
              <w:rPr>
                <w:rFonts w:hint="eastAsia" w:ascii="宋体" w:hAnsi="宋体" w:eastAsia="宋体" w:cs="Times New Roman"/>
                <w:kern w:val="0"/>
                <w:sz w:val="24"/>
                <w:szCs w:val="24"/>
              </w:rPr>
            </w:pPr>
          </w:p>
        </w:tc>
      </w:tr>
      <w:tr w14:paraId="2CB5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12F3967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16</w:t>
            </w:r>
          </w:p>
        </w:tc>
        <w:tc>
          <w:tcPr>
            <w:tcW w:w="1245" w:type="dxa"/>
            <w:shd w:val="clear" w:color="auto" w:fill="auto"/>
            <w:vAlign w:val="center"/>
          </w:tcPr>
          <w:p w14:paraId="25E0756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SC-SC-60公分-普通-单模光纤跳线</w:t>
            </w:r>
          </w:p>
        </w:tc>
        <w:tc>
          <w:tcPr>
            <w:tcW w:w="4105" w:type="dxa"/>
            <w:shd w:val="clear" w:color="auto" w:fill="auto"/>
            <w:vAlign w:val="center"/>
          </w:tcPr>
          <w:p w14:paraId="2F03C06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SC-SC-60公分单模；接头材料：陶瓷套管；重复插拔：≤0.2dB，每500次插拔；插入损耗：SM≤0.3dB，MM≤0.3dB；回波损耗：≥50dB</w:t>
            </w:r>
          </w:p>
        </w:tc>
        <w:tc>
          <w:tcPr>
            <w:tcW w:w="851" w:type="dxa"/>
            <w:shd w:val="clear" w:color="auto" w:fill="auto"/>
            <w:noWrap/>
            <w:vAlign w:val="center"/>
          </w:tcPr>
          <w:p w14:paraId="3DF9627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32</w:t>
            </w:r>
          </w:p>
        </w:tc>
        <w:tc>
          <w:tcPr>
            <w:tcW w:w="992" w:type="dxa"/>
            <w:shd w:val="clear" w:color="auto" w:fill="auto"/>
            <w:noWrap/>
            <w:vAlign w:val="center"/>
          </w:tcPr>
          <w:p w14:paraId="234480A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850" w:type="dxa"/>
          </w:tcPr>
          <w:p w14:paraId="13E9CEDD">
            <w:pPr>
              <w:widowControl/>
              <w:jc w:val="center"/>
              <w:rPr>
                <w:rFonts w:hint="eastAsia" w:ascii="宋体" w:hAnsi="宋体" w:eastAsia="宋体" w:cs="Times New Roman"/>
                <w:kern w:val="0"/>
                <w:sz w:val="24"/>
                <w:szCs w:val="24"/>
              </w:rPr>
            </w:pPr>
          </w:p>
        </w:tc>
        <w:tc>
          <w:tcPr>
            <w:tcW w:w="850" w:type="dxa"/>
          </w:tcPr>
          <w:p w14:paraId="0DA2886C">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16072F7A">
            <w:pPr>
              <w:widowControl/>
              <w:jc w:val="center"/>
              <w:rPr>
                <w:rFonts w:hint="eastAsia" w:ascii="宋体" w:hAnsi="宋体" w:eastAsia="宋体" w:cs="Times New Roman"/>
                <w:kern w:val="0"/>
                <w:sz w:val="24"/>
                <w:szCs w:val="24"/>
              </w:rPr>
            </w:pPr>
          </w:p>
        </w:tc>
      </w:tr>
      <w:tr w14:paraId="1A42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3AE8640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17</w:t>
            </w:r>
          </w:p>
        </w:tc>
        <w:tc>
          <w:tcPr>
            <w:tcW w:w="1245" w:type="dxa"/>
            <w:shd w:val="clear" w:color="auto" w:fill="auto"/>
            <w:vAlign w:val="center"/>
          </w:tcPr>
          <w:p w14:paraId="005344AE">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SC-SC-1米-可寻线-单模光纤跳线</w:t>
            </w:r>
          </w:p>
        </w:tc>
        <w:tc>
          <w:tcPr>
            <w:tcW w:w="4105" w:type="dxa"/>
            <w:shd w:val="clear" w:color="auto" w:fill="auto"/>
            <w:vAlign w:val="center"/>
          </w:tcPr>
          <w:p w14:paraId="157E87A7">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SC-SC-1米单模；接头材料：陶瓷套管；重复插拔：≤0.2dB，每500次插拔；插入损耗：SM≤0.3dB，MM≤0.3dB；回波损耗：≥50dB。</w:t>
            </w:r>
          </w:p>
          <w:p w14:paraId="3226CD3D">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851" w:type="dxa"/>
            <w:shd w:val="clear" w:color="auto" w:fill="auto"/>
            <w:noWrap/>
            <w:vAlign w:val="center"/>
          </w:tcPr>
          <w:p w14:paraId="159C6E8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42</w:t>
            </w:r>
          </w:p>
        </w:tc>
        <w:tc>
          <w:tcPr>
            <w:tcW w:w="992" w:type="dxa"/>
            <w:shd w:val="clear" w:color="auto" w:fill="auto"/>
            <w:noWrap/>
            <w:vAlign w:val="center"/>
          </w:tcPr>
          <w:p w14:paraId="2D48835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850" w:type="dxa"/>
          </w:tcPr>
          <w:p w14:paraId="3AFEE42F">
            <w:pPr>
              <w:widowControl/>
              <w:jc w:val="center"/>
              <w:rPr>
                <w:rFonts w:hint="eastAsia" w:ascii="宋体" w:hAnsi="宋体" w:eastAsia="宋体" w:cs="Times New Roman"/>
                <w:kern w:val="0"/>
                <w:sz w:val="24"/>
                <w:szCs w:val="24"/>
              </w:rPr>
            </w:pPr>
          </w:p>
        </w:tc>
        <w:tc>
          <w:tcPr>
            <w:tcW w:w="850" w:type="dxa"/>
          </w:tcPr>
          <w:p w14:paraId="6A95AA02">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51E35BB9">
            <w:pPr>
              <w:widowControl/>
              <w:jc w:val="center"/>
              <w:rPr>
                <w:rFonts w:hint="eastAsia" w:ascii="宋体" w:hAnsi="宋体" w:eastAsia="宋体" w:cs="Times New Roman"/>
                <w:kern w:val="0"/>
                <w:sz w:val="24"/>
                <w:szCs w:val="24"/>
              </w:rPr>
            </w:pPr>
          </w:p>
        </w:tc>
      </w:tr>
      <w:tr w14:paraId="358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0B1E433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18</w:t>
            </w:r>
          </w:p>
        </w:tc>
        <w:tc>
          <w:tcPr>
            <w:tcW w:w="1245" w:type="dxa"/>
            <w:shd w:val="clear" w:color="auto" w:fill="auto"/>
            <w:vAlign w:val="center"/>
          </w:tcPr>
          <w:p w14:paraId="23053CB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SC-SC-3米-可寻线-单模光纤跳线</w:t>
            </w:r>
          </w:p>
        </w:tc>
        <w:tc>
          <w:tcPr>
            <w:tcW w:w="4105" w:type="dxa"/>
            <w:shd w:val="clear" w:color="auto" w:fill="auto"/>
            <w:vAlign w:val="center"/>
          </w:tcPr>
          <w:p w14:paraId="1AF6367C">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SC-SC-3米单模；接头材料：陶瓷套管；重复插拔：≤0.2dB，每500次插拔；插入损耗：SM≤0.3dB，MM≤0.3dB；回波损耗：≥50dB。</w:t>
            </w:r>
          </w:p>
          <w:p w14:paraId="7294E0E6">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851" w:type="dxa"/>
            <w:shd w:val="clear" w:color="auto" w:fill="auto"/>
            <w:noWrap/>
            <w:vAlign w:val="center"/>
          </w:tcPr>
          <w:p w14:paraId="5484DE0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992" w:type="dxa"/>
            <w:shd w:val="clear" w:color="auto" w:fill="auto"/>
            <w:noWrap/>
            <w:vAlign w:val="center"/>
          </w:tcPr>
          <w:p w14:paraId="0847745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850" w:type="dxa"/>
          </w:tcPr>
          <w:p w14:paraId="7F60D593">
            <w:pPr>
              <w:widowControl/>
              <w:jc w:val="center"/>
              <w:rPr>
                <w:rFonts w:hint="eastAsia" w:ascii="宋体" w:hAnsi="宋体" w:eastAsia="宋体" w:cs="Times New Roman"/>
                <w:kern w:val="0"/>
                <w:sz w:val="24"/>
                <w:szCs w:val="24"/>
              </w:rPr>
            </w:pPr>
          </w:p>
        </w:tc>
        <w:tc>
          <w:tcPr>
            <w:tcW w:w="850" w:type="dxa"/>
          </w:tcPr>
          <w:p w14:paraId="6BA519E4">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3847CCE2">
            <w:pPr>
              <w:widowControl/>
              <w:jc w:val="center"/>
              <w:rPr>
                <w:rFonts w:hint="eastAsia" w:ascii="宋体" w:hAnsi="宋体" w:eastAsia="宋体" w:cs="Times New Roman"/>
                <w:kern w:val="0"/>
                <w:sz w:val="24"/>
                <w:szCs w:val="24"/>
              </w:rPr>
            </w:pPr>
          </w:p>
        </w:tc>
      </w:tr>
      <w:tr w14:paraId="3603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4CEA7D47">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19</w:t>
            </w:r>
          </w:p>
        </w:tc>
        <w:tc>
          <w:tcPr>
            <w:tcW w:w="1245" w:type="dxa"/>
            <w:shd w:val="clear" w:color="auto" w:fill="auto"/>
            <w:vAlign w:val="center"/>
          </w:tcPr>
          <w:p w14:paraId="5AD4F71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SC-SC-10米-可寻线-单模光纤跳线</w:t>
            </w:r>
          </w:p>
        </w:tc>
        <w:tc>
          <w:tcPr>
            <w:tcW w:w="4105" w:type="dxa"/>
            <w:shd w:val="clear" w:color="auto" w:fill="auto"/>
            <w:vAlign w:val="center"/>
          </w:tcPr>
          <w:p w14:paraId="37190A13">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SC-SC-10米单模；接头材料：陶瓷套管；重复插拔：≤0.2dB，每500次插拔；插入损耗：SM≤0.3dB，MM≤0.3dB；回波损耗：≥50dB。</w:t>
            </w:r>
          </w:p>
          <w:p w14:paraId="56A43C04">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线缆结构有原来的基础上增加了导光光纤，内置导光光纤，在两端线身上留有光源输入口，无需拔插可通过任意的可见光照明装置快速定位线缆两端的关系（提供对应寻线功能的CNAS认证的第三方机构的检测报告）</w:t>
            </w:r>
          </w:p>
        </w:tc>
        <w:tc>
          <w:tcPr>
            <w:tcW w:w="851" w:type="dxa"/>
            <w:shd w:val="clear" w:color="auto" w:fill="auto"/>
            <w:noWrap/>
            <w:vAlign w:val="center"/>
          </w:tcPr>
          <w:p w14:paraId="759F395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4</w:t>
            </w:r>
          </w:p>
        </w:tc>
        <w:tc>
          <w:tcPr>
            <w:tcW w:w="992" w:type="dxa"/>
            <w:shd w:val="clear" w:color="auto" w:fill="auto"/>
            <w:noWrap/>
            <w:vAlign w:val="center"/>
          </w:tcPr>
          <w:p w14:paraId="7868DC2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根</w:t>
            </w:r>
          </w:p>
        </w:tc>
        <w:tc>
          <w:tcPr>
            <w:tcW w:w="850" w:type="dxa"/>
          </w:tcPr>
          <w:p w14:paraId="17187E13">
            <w:pPr>
              <w:widowControl/>
              <w:jc w:val="center"/>
              <w:rPr>
                <w:rFonts w:hint="eastAsia" w:ascii="宋体" w:hAnsi="宋体" w:eastAsia="宋体" w:cs="Times New Roman"/>
                <w:kern w:val="0"/>
                <w:sz w:val="24"/>
                <w:szCs w:val="24"/>
              </w:rPr>
            </w:pPr>
          </w:p>
        </w:tc>
        <w:tc>
          <w:tcPr>
            <w:tcW w:w="850" w:type="dxa"/>
          </w:tcPr>
          <w:p w14:paraId="0766AA29">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69D1F079">
            <w:pPr>
              <w:widowControl/>
              <w:jc w:val="center"/>
              <w:rPr>
                <w:rFonts w:hint="eastAsia" w:ascii="宋体" w:hAnsi="宋体" w:eastAsia="宋体" w:cs="Times New Roman"/>
                <w:kern w:val="0"/>
                <w:sz w:val="24"/>
                <w:szCs w:val="24"/>
              </w:rPr>
            </w:pPr>
          </w:p>
        </w:tc>
      </w:tr>
      <w:tr w14:paraId="402A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3354FB8A">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20</w:t>
            </w:r>
          </w:p>
        </w:tc>
        <w:tc>
          <w:tcPr>
            <w:tcW w:w="1245" w:type="dxa"/>
            <w:shd w:val="clear" w:color="auto" w:fill="auto"/>
            <w:vAlign w:val="center"/>
          </w:tcPr>
          <w:p w14:paraId="5E42B5E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2×4插片式分光器</w:t>
            </w:r>
          </w:p>
        </w:tc>
        <w:tc>
          <w:tcPr>
            <w:tcW w:w="4105" w:type="dxa"/>
            <w:shd w:val="clear" w:color="auto" w:fill="auto"/>
            <w:vAlign w:val="center"/>
          </w:tcPr>
          <w:p w14:paraId="404A01F1">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光纤类型：单模G.652/G.657；接口类型：SC/UPC；插入损耗：≤8.3dB；损耗均匀度：≤1.2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851" w:type="dxa"/>
            <w:shd w:val="clear" w:color="auto" w:fill="auto"/>
            <w:noWrap/>
            <w:vAlign w:val="center"/>
          </w:tcPr>
          <w:p w14:paraId="723940E8">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w:t>
            </w:r>
          </w:p>
        </w:tc>
        <w:tc>
          <w:tcPr>
            <w:tcW w:w="992" w:type="dxa"/>
            <w:shd w:val="clear" w:color="auto" w:fill="auto"/>
            <w:noWrap/>
            <w:vAlign w:val="center"/>
          </w:tcPr>
          <w:p w14:paraId="197BF3A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77430AFC">
            <w:pPr>
              <w:widowControl/>
              <w:jc w:val="center"/>
              <w:rPr>
                <w:rFonts w:hint="eastAsia" w:ascii="宋体" w:hAnsi="宋体" w:eastAsia="宋体" w:cs="Times New Roman"/>
                <w:kern w:val="0"/>
                <w:sz w:val="24"/>
                <w:szCs w:val="24"/>
              </w:rPr>
            </w:pPr>
          </w:p>
        </w:tc>
        <w:tc>
          <w:tcPr>
            <w:tcW w:w="850" w:type="dxa"/>
          </w:tcPr>
          <w:p w14:paraId="2FFB4AD9">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433E17F8">
            <w:pPr>
              <w:widowControl/>
              <w:jc w:val="center"/>
              <w:rPr>
                <w:rFonts w:hint="eastAsia" w:ascii="宋体" w:hAnsi="宋体" w:eastAsia="宋体" w:cs="Times New Roman"/>
                <w:kern w:val="0"/>
                <w:sz w:val="24"/>
                <w:szCs w:val="24"/>
              </w:rPr>
            </w:pPr>
          </w:p>
        </w:tc>
      </w:tr>
      <w:tr w14:paraId="0AC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7" w:type="dxa"/>
            <w:shd w:val="clear" w:color="auto" w:fill="auto"/>
            <w:noWrap/>
            <w:vAlign w:val="center"/>
          </w:tcPr>
          <w:p w14:paraId="31C8882F">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21</w:t>
            </w:r>
          </w:p>
        </w:tc>
        <w:tc>
          <w:tcPr>
            <w:tcW w:w="1245" w:type="dxa"/>
            <w:shd w:val="clear" w:color="auto" w:fill="auto"/>
            <w:vAlign w:val="center"/>
          </w:tcPr>
          <w:p w14:paraId="751D325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2×8插片式分光器</w:t>
            </w:r>
          </w:p>
        </w:tc>
        <w:tc>
          <w:tcPr>
            <w:tcW w:w="4105" w:type="dxa"/>
            <w:shd w:val="clear" w:color="auto" w:fill="auto"/>
            <w:vAlign w:val="center"/>
          </w:tcPr>
          <w:p w14:paraId="7C200C96">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光纤类型：单模G.652/G.657；接口类型：SC/UPC；插入损耗：≤11.2dB；损耗均匀度：≤1.5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851" w:type="dxa"/>
            <w:shd w:val="clear" w:color="auto" w:fill="auto"/>
            <w:noWrap/>
            <w:vAlign w:val="center"/>
          </w:tcPr>
          <w:p w14:paraId="748FDB7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3</w:t>
            </w:r>
          </w:p>
        </w:tc>
        <w:tc>
          <w:tcPr>
            <w:tcW w:w="992" w:type="dxa"/>
            <w:shd w:val="clear" w:color="auto" w:fill="auto"/>
            <w:noWrap/>
            <w:vAlign w:val="center"/>
          </w:tcPr>
          <w:p w14:paraId="4DE4342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1DC7E61E">
            <w:pPr>
              <w:widowControl/>
              <w:jc w:val="center"/>
              <w:rPr>
                <w:rFonts w:hint="eastAsia" w:ascii="宋体" w:hAnsi="宋体" w:eastAsia="宋体" w:cs="Times New Roman"/>
                <w:kern w:val="0"/>
                <w:sz w:val="24"/>
                <w:szCs w:val="24"/>
              </w:rPr>
            </w:pPr>
          </w:p>
        </w:tc>
        <w:tc>
          <w:tcPr>
            <w:tcW w:w="850" w:type="dxa"/>
          </w:tcPr>
          <w:p w14:paraId="1A4928EA">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46B0E194">
            <w:pPr>
              <w:widowControl/>
              <w:jc w:val="center"/>
              <w:rPr>
                <w:rFonts w:hint="eastAsia" w:ascii="宋体" w:hAnsi="宋体" w:eastAsia="宋体" w:cs="Times New Roman"/>
                <w:kern w:val="0"/>
                <w:sz w:val="24"/>
                <w:szCs w:val="24"/>
              </w:rPr>
            </w:pPr>
          </w:p>
        </w:tc>
      </w:tr>
      <w:tr w14:paraId="752C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222CC5BB">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22</w:t>
            </w:r>
          </w:p>
        </w:tc>
        <w:tc>
          <w:tcPr>
            <w:tcW w:w="1245" w:type="dxa"/>
            <w:shd w:val="clear" w:color="auto" w:fill="auto"/>
            <w:vAlign w:val="center"/>
          </w:tcPr>
          <w:p w14:paraId="2AAA516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明盒</w:t>
            </w:r>
          </w:p>
        </w:tc>
        <w:tc>
          <w:tcPr>
            <w:tcW w:w="4105" w:type="dxa"/>
            <w:shd w:val="clear" w:color="auto" w:fill="auto"/>
            <w:vAlign w:val="center"/>
          </w:tcPr>
          <w:p w14:paraId="6300C3CA">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86型明盒</w:t>
            </w:r>
          </w:p>
        </w:tc>
        <w:tc>
          <w:tcPr>
            <w:tcW w:w="851" w:type="dxa"/>
            <w:shd w:val="clear" w:color="auto" w:fill="auto"/>
            <w:noWrap/>
            <w:vAlign w:val="center"/>
          </w:tcPr>
          <w:p w14:paraId="2F63F62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143</w:t>
            </w:r>
          </w:p>
        </w:tc>
        <w:tc>
          <w:tcPr>
            <w:tcW w:w="992" w:type="dxa"/>
            <w:shd w:val="clear" w:color="auto" w:fill="auto"/>
            <w:noWrap/>
            <w:vAlign w:val="center"/>
          </w:tcPr>
          <w:p w14:paraId="28E6DA83">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个</w:t>
            </w:r>
          </w:p>
        </w:tc>
        <w:tc>
          <w:tcPr>
            <w:tcW w:w="850" w:type="dxa"/>
          </w:tcPr>
          <w:p w14:paraId="1050FFFD">
            <w:pPr>
              <w:widowControl/>
              <w:jc w:val="center"/>
              <w:rPr>
                <w:rFonts w:hint="eastAsia" w:ascii="宋体" w:hAnsi="宋体" w:eastAsia="宋体" w:cs="Times New Roman"/>
                <w:kern w:val="0"/>
                <w:sz w:val="24"/>
                <w:szCs w:val="24"/>
              </w:rPr>
            </w:pPr>
          </w:p>
        </w:tc>
        <w:tc>
          <w:tcPr>
            <w:tcW w:w="850" w:type="dxa"/>
          </w:tcPr>
          <w:p w14:paraId="1355C285">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3B598ABD">
            <w:pPr>
              <w:widowControl/>
              <w:jc w:val="center"/>
              <w:rPr>
                <w:rFonts w:hint="eastAsia" w:ascii="宋体" w:hAnsi="宋体" w:eastAsia="宋体" w:cs="Times New Roman"/>
                <w:kern w:val="0"/>
                <w:sz w:val="24"/>
                <w:szCs w:val="24"/>
              </w:rPr>
            </w:pPr>
          </w:p>
        </w:tc>
      </w:tr>
      <w:tr w14:paraId="09C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3E006ADD">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23</w:t>
            </w:r>
          </w:p>
        </w:tc>
        <w:tc>
          <w:tcPr>
            <w:tcW w:w="1245" w:type="dxa"/>
            <w:shd w:val="clear" w:color="auto" w:fill="auto"/>
            <w:vAlign w:val="center"/>
          </w:tcPr>
          <w:p w14:paraId="3110810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PVC管</w:t>
            </w:r>
          </w:p>
        </w:tc>
        <w:tc>
          <w:tcPr>
            <w:tcW w:w="4105" w:type="dxa"/>
            <w:shd w:val="clear" w:color="auto" w:fill="auto"/>
            <w:vAlign w:val="center"/>
          </w:tcPr>
          <w:p w14:paraId="61326366">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直径25PVC管</w:t>
            </w:r>
          </w:p>
        </w:tc>
        <w:tc>
          <w:tcPr>
            <w:tcW w:w="851" w:type="dxa"/>
            <w:shd w:val="clear" w:color="auto" w:fill="auto"/>
            <w:noWrap/>
            <w:vAlign w:val="center"/>
          </w:tcPr>
          <w:p w14:paraId="651C1DF0">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700</w:t>
            </w:r>
          </w:p>
        </w:tc>
        <w:tc>
          <w:tcPr>
            <w:tcW w:w="992" w:type="dxa"/>
            <w:shd w:val="clear" w:color="auto" w:fill="auto"/>
            <w:noWrap/>
            <w:vAlign w:val="center"/>
          </w:tcPr>
          <w:p w14:paraId="02B570E2">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850" w:type="dxa"/>
          </w:tcPr>
          <w:p w14:paraId="5C20CDB7">
            <w:pPr>
              <w:widowControl/>
              <w:jc w:val="center"/>
              <w:rPr>
                <w:rFonts w:hint="eastAsia" w:ascii="宋体" w:hAnsi="宋体" w:eastAsia="宋体" w:cs="Times New Roman"/>
                <w:kern w:val="0"/>
                <w:sz w:val="24"/>
                <w:szCs w:val="24"/>
              </w:rPr>
            </w:pPr>
          </w:p>
        </w:tc>
        <w:tc>
          <w:tcPr>
            <w:tcW w:w="850" w:type="dxa"/>
          </w:tcPr>
          <w:p w14:paraId="0BDC9C84">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05B848C6">
            <w:pPr>
              <w:widowControl/>
              <w:jc w:val="center"/>
              <w:rPr>
                <w:rFonts w:hint="eastAsia" w:ascii="宋体" w:hAnsi="宋体" w:eastAsia="宋体" w:cs="Times New Roman"/>
                <w:kern w:val="0"/>
                <w:sz w:val="24"/>
                <w:szCs w:val="24"/>
              </w:rPr>
            </w:pPr>
          </w:p>
        </w:tc>
      </w:tr>
      <w:tr w14:paraId="19D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07BE1A94">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24</w:t>
            </w:r>
          </w:p>
        </w:tc>
        <w:tc>
          <w:tcPr>
            <w:tcW w:w="1245" w:type="dxa"/>
            <w:shd w:val="clear" w:color="auto" w:fill="auto"/>
            <w:vAlign w:val="center"/>
          </w:tcPr>
          <w:p w14:paraId="230E5346">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电源线</w:t>
            </w:r>
          </w:p>
        </w:tc>
        <w:tc>
          <w:tcPr>
            <w:tcW w:w="4105" w:type="dxa"/>
            <w:shd w:val="clear" w:color="auto" w:fill="auto"/>
            <w:vAlign w:val="center"/>
          </w:tcPr>
          <w:p w14:paraId="779D5725">
            <w:pPr>
              <w:widowControl/>
              <w:jc w:val="left"/>
              <w:rPr>
                <w:rFonts w:hint="eastAsia" w:ascii="宋体" w:hAnsi="宋体" w:eastAsia="宋体" w:cs="Times New Roman"/>
                <w:kern w:val="0"/>
                <w:sz w:val="24"/>
                <w:szCs w:val="24"/>
              </w:rPr>
            </w:pPr>
            <w:r>
              <w:rPr>
                <w:rFonts w:ascii="宋体" w:hAnsi="宋体" w:eastAsia="宋体" w:cs="Times New Roman"/>
                <w:kern w:val="0"/>
                <w:sz w:val="24"/>
                <w:szCs w:val="24"/>
              </w:rPr>
              <w:t>RVV3*1.0</w:t>
            </w:r>
          </w:p>
        </w:tc>
        <w:tc>
          <w:tcPr>
            <w:tcW w:w="851" w:type="dxa"/>
            <w:shd w:val="clear" w:color="auto" w:fill="auto"/>
            <w:noWrap/>
            <w:vAlign w:val="center"/>
          </w:tcPr>
          <w:p w14:paraId="6A25164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1030</w:t>
            </w:r>
          </w:p>
        </w:tc>
        <w:tc>
          <w:tcPr>
            <w:tcW w:w="992" w:type="dxa"/>
            <w:shd w:val="clear" w:color="auto" w:fill="auto"/>
            <w:noWrap/>
            <w:vAlign w:val="center"/>
          </w:tcPr>
          <w:p w14:paraId="2BD445FC">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米</w:t>
            </w:r>
          </w:p>
        </w:tc>
        <w:tc>
          <w:tcPr>
            <w:tcW w:w="850" w:type="dxa"/>
          </w:tcPr>
          <w:p w14:paraId="736F1C00">
            <w:pPr>
              <w:widowControl/>
              <w:jc w:val="center"/>
              <w:rPr>
                <w:rFonts w:hint="eastAsia" w:ascii="宋体" w:hAnsi="宋体" w:eastAsia="宋体" w:cs="Times New Roman"/>
                <w:kern w:val="0"/>
                <w:sz w:val="24"/>
                <w:szCs w:val="24"/>
              </w:rPr>
            </w:pPr>
          </w:p>
        </w:tc>
        <w:tc>
          <w:tcPr>
            <w:tcW w:w="850" w:type="dxa"/>
          </w:tcPr>
          <w:p w14:paraId="5A43E781">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098DA420">
            <w:pPr>
              <w:widowControl/>
              <w:jc w:val="center"/>
              <w:rPr>
                <w:rFonts w:hint="eastAsia" w:ascii="宋体" w:hAnsi="宋体" w:eastAsia="宋体" w:cs="Times New Roman"/>
                <w:kern w:val="0"/>
                <w:sz w:val="24"/>
                <w:szCs w:val="24"/>
              </w:rPr>
            </w:pPr>
          </w:p>
        </w:tc>
      </w:tr>
      <w:tr w14:paraId="159D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76FFE49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25</w:t>
            </w:r>
          </w:p>
        </w:tc>
        <w:tc>
          <w:tcPr>
            <w:tcW w:w="1245" w:type="dxa"/>
            <w:shd w:val="clear" w:color="auto" w:fill="auto"/>
            <w:vAlign w:val="center"/>
          </w:tcPr>
          <w:p w14:paraId="51F10FC1">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施工费</w:t>
            </w:r>
          </w:p>
        </w:tc>
        <w:tc>
          <w:tcPr>
            <w:tcW w:w="4105" w:type="dxa"/>
            <w:shd w:val="clear" w:color="auto" w:fill="auto"/>
            <w:vAlign w:val="center"/>
          </w:tcPr>
          <w:p w14:paraId="27F6410C">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包括2芯室内软铠光缆施工，室外光缆施工，内其他应用点位布线施工，AP设备安装，多媒体箱安装，壁挂箱安装，房间内强电箱至多媒体箱的强电施工，多媒体箱暗埋所需要的打洞开槽，开沟室外光纤铺设所需要的挖槽及恢复，所有涉及的光纤熔接施工及技术服务费用等</w:t>
            </w:r>
          </w:p>
        </w:tc>
        <w:tc>
          <w:tcPr>
            <w:tcW w:w="851" w:type="dxa"/>
            <w:shd w:val="clear" w:color="auto" w:fill="auto"/>
            <w:noWrap/>
            <w:vAlign w:val="center"/>
          </w:tcPr>
          <w:p w14:paraId="2D2A2C59">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1</w:t>
            </w:r>
          </w:p>
        </w:tc>
        <w:tc>
          <w:tcPr>
            <w:tcW w:w="992" w:type="dxa"/>
            <w:shd w:val="clear" w:color="auto" w:fill="auto"/>
            <w:noWrap/>
            <w:vAlign w:val="center"/>
          </w:tcPr>
          <w:p w14:paraId="45F414A5">
            <w:pPr>
              <w:widowControl/>
              <w:jc w:val="center"/>
              <w:rPr>
                <w:rFonts w:hint="eastAsia" w:ascii="宋体" w:hAnsi="宋体" w:eastAsia="宋体" w:cs="Times New Roman"/>
                <w:kern w:val="0"/>
                <w:sz w:val="24"/>
                <w:szCs w:val="24"/>
              </w:rPr>
            </w:pPr>
            <w:r>
              <w:rPr>
                <w:rFonts w:ascii="宋体" w:hAnsi="宋体" w:eastAsia="宋体" w:cs="Times New Roman"/>
                <w:kern w:val="0"/>
                <w:sz w:val="24"/>
                <w:szCs w:val="24"/>
              </w:rPr>
              <w:t>项</w:t>
            </w:r>
          </w:p>
        </w:tc>
        <w:tc>
          <w:tcPr>
            <w:tcW w:w="850" w:type="dxa"/>
          </w:tcPr>
          <w:p w14:paraId="6A6BDBFF">
            <w:pPr>
              <w:widowControl/>
              <w:jc w:val="center"/>
              <w:rPr>
                <w:rFonts w:hint="eastAsia" w:ascii="宋体" w:hAnsi="宋体" w:eastAsia="宋体" w:cs="Times New Roman"/>
                <w:kern w:val="0"/>
                <w:sz w:val="24"/>
                <w:szCs w:val="24"/>
              </w:rPr>
            </w:pPr>
          </w:p>
        </w:tc>
        <w:tc>
          <w:tcPr>
            <w:tcW w:w="850" w:type="dxa"/>
          </w:tcPr>
          <w:p w14:paraId="187EE96F">
            <w:pPr>
              <w:widowControl/>
              <w:jc w:val="center"/>
              <w:rPr>
                <w:rFonts w:hint="eastAsia" w:ascii="宋体" w:hAnsi="宋体" w:eastAsia="宋体" w:cs="Times New Roman"/>
                <w:kern w:val="0"/>
                <w:sz w:val="24"/>
                <w:szCs w:val="24"/>
              </w:rPr>
            </w:pPr>
          </w:p>
        </w:tc>
        <w:tc>
          <w:tcPr>
            <w:tcW w:w="1277" w:type="dxa"/>
            <w:shd w:val="clear" w:color="auto" w:fill="auto"/>
            <w:noWrap/>
            <w:vAlign w:val="center"/>
          </w:tcPr>
          <w:p w14:paraId="3FC8CE44">
            <w:pPr>
              <w:widowControl/>
              <w:jc w:val="center"/>
              <w:rPr>
                <w:rFonts w:hint="eastAsia" w:ascii="宋体" w:hAnsi="宋体" w:eastAsia="宋体" w:cs="Times New Roman"/>
                <w:kern w:val="0"/>
                <w:sz w:val="24"/>
                <w:szCs w:val="24"/>
              </w:rPr>
            </w:pPr>
          </w:p>
        </w:tc>
      </w:tr>
      <w:tr w14:paraId="7C2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7" w:type="dxa"/>
            <w:shd w:val="clear" w:color="auto" w:fill="auto"/>
            <w:noWrap/>
            <w:vAlign w:val="center"/>
          </w:tcPr>
          <w:p w14:paraId="34DFFD8C">
            <w:pPr>
              <w:widowControl/>
              <w:jc w:val="center"/>
              <w:rPr>
                <w:rFonts w:hint="eastAsia" w:ascii="宋体" w:hAnsi="宋体" w:eastAsia="宋体" w:cs="Times New Roman"/>
                <w:kern w:val="0"/>
                <w:sz w:val="24"/>
                <w:szCs w:val="24"/>
              </w:rPr>
            </w:pPr>
          </w:p>
        </w:tc>
        <w:tc>
          <w:tcPr>
            <w:tcW w:w="5350" w:type="dxa"/>
            <w:gridSpan w:val="2"/>
            <w:shd w:val="clear" w:color="auto" w:fill="auto"/>
            <w:vAlign w:val="center"/>
          </w:tcPr>
          <w:p w14:paraId="2179233A">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合计</w:t>
            </w:r>
          </w:p>
        </w:tc>
        <w:tc>
          <w:tcPr>
            <w:tcW w:w="4820" w:type="dxa"/>
            <w:gridSpan w:val="5"/>
            <w:shd w:val="clear" w:color="auto" w:fill="auto"/>
            <w:noWrap/>
            <w:vAlign w:val="center"/>
          </w:tcPr>
          <w:p w14:paraId="5AF4CB3C">
            <w:pPr>
              <w:widowControl/>
              <w:jc w:val="center"/>
              <w:rPr>
                <w:rFonts w:hint="eastAsia" w:ascii="宋体" w:hAnsi="宋体" w:eastAsia="宋体" w:cs="Times New Roman"/>
                <w:kern w:val="0"/>
                <w:sz w:val="24"/>
                <w:szCs w:val="24"/>
              </w:rPr>
            </w:pPr>
          </w:p>
        </w:tc>
      </w:tr>
    </w:tbl>
    <w:p w14:paraId="35D185B2">
      <w:pPr>
        <w:spacing w:line="360" w:lineRule="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                               </w:t>
      </w:r>
    </w:p>
    <w:p w14:paraId="4202DC00">
      <w:pPr>
        <w:widowControl/>
        <w:adjustRightInd w:val="0"/>
        <w:spacing w:line="360" w:lineRule="auto"/>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说明：</w:t>
      </w:r>
    </w:p>
    <w:p w14:paraId="69E9CF99">
      <w:pPr>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1、经磋商后，如果成交价低于投标人在投标文件首次报价的，分项报价同比例调整。</w:t>
      </w:r>
    </w:p>
    <w:p w14:paraId="49CE054A">
      <w:pPr>
        <w:rPr>
          <w:rFonts w:hint="eastAsia" w:ascii="宋体" w:hAnsi="宋体" w:eastAsia="宋体" w:cs="宋体"/>
          <w:kern w:val="0"/>
          <w:sz w:val="24"/>
          <w:szCs w:val="24"/>
          <w:lang w:val="zh-CN"/>
        </w:rPr>
      </w:pPr>
    </w:p>
    <w:p w14:paraId="7FADB727">
      <w:pPr>
        <w:rPr>
          <w:rFonts w:hint="eastAsia" w:ascii="宋体" w:hAnsi="宋体" w:eastAsia="宋体" w:cs="宋体"/>
          <w:kern w:val="0"/>
          <w:sz w:val="24"/>
          <w:szCs w:val="24"/>
          <w:lang w:val="zh-CN"/>
        </w:rPr>
      </w:pPr>
    </w:p>
    <w:p w14:paraId="46585A1D">
      <w:pPr>
        <w:rPr>
          <w:rFonts w:hint="eastAsia" w:ascii="宋体" w:hAnsi="宋体" w:eastAsia="宋体" w:cs="Times New Roman"/>
          <w:b/>
          <w:color w:val="000000"/>
          <w:sz w:val="28"/>
          <w:szCs w:val="28"/>
        </w:rPr>
      </w:pPr>
    </w:p>
    <w:p w14:paraId="4685E99E">
      <w:pPr>
        <w:rPr>
          <w:rFonts w:hint="eastAsia" w:ascii="宋体" w:hAnsi="宋体" w:eastAsia="宋体" w:cs="Times New Roman"/>
          <w:b/>
          <w:color w:val="000000"/>
          <w:sz w:val="28"/>
          <w:szCs w:val="28"/>
        </w:rPr>
      </w:pPr>
    </w:p>
    <w:p w14:paraId="1A603F7F">
      <w:pPr>
        <w:widowControl/>
        <w:adjustRightIn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投标人名称：</w:t>
      </w:r>
      <w:r>
        <w:rPr>
          <w:rFonts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（盖章）</w:t>
      </w:r>
    </w:p>
    <w:p w14:paraId="7970B098">
      <w:pPr>
        <w:jc w:val="center"/>
        <w:rPr>
          <w:rFonts w:hint="eastAsia" w:ascii="宋体" w:hAnsi="宋体" w:eastAsia="宋体" w:cs="Times New Roman"/>
          <w:b/>
          <w:color w:val="000000"/>
          <w:sz w:val="28"/>
          <w:szCs w:val="28"/>
        </w:rPr>
      </w:pPr>
    </w:p>
    <w:p w14:paraId="73339FAA">
      <w:pPr>
        <w:rPr>
          <w:rFonts w:hint="eastAsia" w:ascii="宋体" w:hAnsi="宋体" w:eastAsia="宋体" w:cs="Times New Roman"/>
          <w:b/>
          <w:color w:val="000000"/>
          <w:sz w:val="28"/>
          <w:szCs w:val="28"/>
        </w:rPr>
      </w:pPr>
    </w:p>
    <w:p w14:paraId="1E81450E">
      <w:pPr>
        <w:rPr>
          <w:rFonts w:hint="eastAsia" w:ascii="宋体" w:hAnsi="宋体" w:eastAsia="宋体" w:cs="Times New Roman"/>
          <w:b/>
          <w:color w:val="000000"/>
          <w:sz w:val="28"/>
          <w:szCs w:val="28"/>
        </w:rPr>
      </w:pPr>
    </w:p>
    <w:p w14:paraId="6042ED25">
      <w:pPr>
        <w:rPr>
          <w:rFonts w:hint="eastAsia" w:ascii="宋体" w:hAnsi="宋体" w:eastAsia="宋体" w:cs="Times New Roman"/>
          <w:b/>
          <w:color w:val="000000"/>
          <w:sz w:val="28"/>
          <w:szCs w:val="28"/>
        </w:rPr>
      </w:pPr>
    </w:p>
    <w:p w14:paraId="02909417">
      <w:pPr>
        <w:rPr>
          <w:rFonts w:hint="eastAsia" w:ascii="宋体" w:hAnsi="宋体" w:eastAsia="宋体" w:cs="Times New Roman"/>
          <w:b/>
          <w:color w:val="000000"/>
          <w:sz w:val="28"/>
          <w:szCs w:val="28"/>
        </w:rPr>
      </w:pPr>
    </w:p>
    <w:p w14:paraId="7F8DDC31">
      <w:pPr>
        <w:rPr>
          <w:rFonts w:hint="eastAsia" w:ascii="宋体" w:hAnsi="宋体" w:eastAsia="宋体" w:cs="Times New Roman"/>
          <w:b/>
          <w:color w:val="000000"/>
          <w:sz w:val="28"/>
          <w:szCs w:val="28"/>
        </w:rPr>
      </w:pPr>
    </w:p>
    <w:p w14:paraId="00453998">
      <w:pPr>
        <w:rPr>
          <w:rFonts w:hint="eastAsia" w:ascii="宋体" w:hAnsi="宋体" w:eastAsia="宋体" w:cs="Times New Roman"/>
          <w:b/>
          <w:color w:val="000000"/>
          <w:sz w:val="28"/>
          <w:szCs w:val="28"/>
        </w:rPr>
      </w:pPr>
    </w:p>
    <w:p w14:paraId="7ABF3516">
      <w:pPr>
        <w:rPr>
          <w:rFonts w:hint="eastAsia" w:ascii="宋体" w:hAnsi="宋体" w:eastAsia="宋体" w:cs="Times New Roman"/>
          <w:b/>
          <w:color w:val="000000"/>
          <w:sz w:val="28"/>
          <w:szCs w:val="28"/>
        </w:rPr>
      </w:pPr>
    </w:p>
    <w:p w14:paraId="14648807">
      <w:pPr>
        <w:rPr>
          <w:rFonts w:hint="eastAsia" w:ascii="宋体" w:hAnsi="宋体" w:eastAsia="宋体" w:cs="Times New Roman"/>
          <w:b/>
          <w:color w:val="000000"/>
          <w:sz w:val="28"/>
          <w:szCs w:val="28"/>
        </w:rPr>
      </w:pPr>
    </w:p>
    <w:p w14:paraId="294EFF15">
      <w:pPr>
        <w:rPr>
          <w:rFonts w:hint="eastAsia" w:ascii="宋体" w:hAnsi="宋体" w:eastAsia="宋体" w:cs="Times New Roman"/>
          <w:b/>
          <w:color w:val="000000"/>
          <w:sz w:val="28"/>
          <w:szCs w:val="28"/>
        </w:rPr>
      </w:pPr>
    </w:p>
    <w:p w14:paraId="5228A63B">
      <w:pPr>
        <w:rPr>
          <w:rFonts w:hint="eastAsia" w:ascii="宋体" w:hAnsi="宋体" w:eastAsia="宋体" w:cs="Times New Roman"/>
          <w:b/>
          <w:color w:val="000000"/>
          <w:sz w:val="28"/>
          <w:szCs w:val="28"/>
        </w:rPr>
      </w:pPr>
    </w:p>
    <w:p w14:paraId="0974A992">
      <w:pPr>
        <w:rPr>
          <w:rFonts w:hint="eastAsia" w:ascii="宋体" w:hAnsi="宋体" w:eastAsia="宋体" w:cs="Times New Roman"/>
          <w:b/>
          <w:color w:val="000000"/>
          <w:sz w:val="28"/>
          <w:szCs w:val="28"/>
        </w:rPr>
      </w:pPr>
    </w:p>
    <w:p w14:paraId="3C70955A">
      <w:pPr>
        <w:rPr>
          <w:rFonts w:hint="eastAsia" w:ascii="宋体" w:hAnsi="宋体" w:eastAsia="宋体" w:cs="Times New Roman"/>
          <w:b/>
          <w:color w:val="000000"/>
          <w:sz w:val="28"/>
          <w:szCs w:val="28"/>
        </w:rPr>
      </w:pPr>
    </w:p>
    <w:p w14:paraId="1769F0A3">
      <w:pPr>
        <w:rPr>
          <w:rFonts w:hint="eastAsia" w:ascii="宋体" w:hAnsi="宋体" w:eastAsia="宋体" w:cs="Times New Roman"/>
          <w:b/>
          <w:color w:val="000000"/>
          <w:sz w:val="28"/>
          <w:szCs w:val="28"/>
        </w:rPr>
      </w:pPr>
    </w:p>
    <w:p w14:paraId="25174D13">
      <w:pPr>
        <w:rPr>
          <w:rFonts w:hint="eastAsia" w:ascii="宋体" w:hAnsi="宋体" w:eastAsia="宋体" w:cs="Times New Roman"/>
          <w:b/>
          <w:color w:val="000000"/>
          <w:sz w:val="28"/>
          <w:szCs w:val="28"/>
        </w:rPr>
      </w:pPr>
    </w:p>
    <w:p w14:paraId="0862413C">
      <w:pPr>
        <w:rPr>
          <w:rFonts w:hint="eastAsia" w:ascii="宋体" w:hAnsi="宋体" w:eastAsia="宋体" w:cs="Times New Roman"/>
          <w:b/>
          <w:color w:val="000000"/>
          <w:sz w:val="28"/>
          <w:szCs w:val="28"/>
        </w:rPr>
      </w:pPr>
    </w:p>
    <w:p w14:paraId="4B7A0168">
      <w:pPr>
        <w:rPr>
          <w:rFonts w:hint="eastAsia" w:ascii="宋体" w:hAnsi="宋体" w:eastAsia="宋体" w:cs="Times New Roman"/>
          <w:b/>
          <w:color w:val="000000"/>
          <w:sz w:val="28"/>
          <w:szCs w:val="28"/>
        </w:rPr>
      </w:pPr>
    </w:p>
    <w:p w14:paraId="436EEAEE">
      <w:pPr>
        <w:rPr>
          <w:rFonts w:hint="eastAsia" w:ascii="宋体" w:hAnsi="宋体" w:eastAsia="宋体" w:cs="Times New Roman"/>
          <w:b/>
          <w:color w:val="000000"/>
          <w:sz w:val="28"/>
          <w:szCs w:val="28"/>
        </w:rPr>
      </w:pPr>
    </w:p>
    <w:p w14:paraId="1BDCF5FD">
      <w:pPr>
        <w:rPr>
          <w:rFonts w:hint="eastAsia" w:ascii="宋体" w:hAnsi="宋体" w:eastAsia="宋体" w:cs="Times New Roman"/>
          <w:b/>
          <w:color w:val="000000"/>
          <w:sz w:val="28"/>
          <w:szCs w:val="28"/>
        </w:rPr>
      </w:pPr>
    </w:p>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附件三、法定代表人授权委托书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15" w:name="_Toc25030888"/>
      <w:r>
        <w:rPr>
          <w:rFonts w:hint="eastAsia" w:ascii="宋体" w:hAnsi="宋体" w:eastAsia="宋体" w:cs="Times New Roman"/>
          <w:color w:val="000000"/>
          <w:sz w:val="24"/>
          <w:szCs w:val="24"/>
        </w:rPr>
        <w:t>附委托代理人的身份证明文件的复印件：</w:t>
      </w:r>
    </w:p>
    <w:p w14:paraId="5C73C696">
      <w:pPr>
        <w:spacing w:line="360" w:lineRule="auto"/>
        <w:rPr>
          <w:rFonts w:hint="eastAsia" w:ascii="宋体" w:hAnsi="宋体" w:eastAsia="宋体" w:cs="Times New Roman"/>
          <w:szCs w:val="24"/>
        </w:rPr>
        <w:sectPr>
          <w:footerReference r:id="rId9" w:type="default"/>
          <w:pgSz w:w="11906" w:h="16838"/>
          <w:pgMar w:top="1440" w:right="1800" w:bottom="1440" w:left="1800" w:header="851" w:footer="851" w:gutter="0"/>
          <w:cols w:space="720" w:num="1"/>
          <w:docGrid w:linePitch="312" w:charSpace="0"/>
        </w:sectPr>
      </w:pPr>
      <w:bookmarkStart w:id="16" w:name="_Toc434218974"/>
    </w:p>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附件</w:t>
      </w:r>
      <w:bookmarkEnd w:id="16"/>
      <w:r>
        <w:rPr>
          <w:rFonts w:hint="eastAsia" w:ascii="宋体" w:hAnsi="宋体" w:eastAsia="宋体" w:cs="Times New Roman"/>
          <w:b/>
          <w:color w:val="000000"/>
          <w:sz w:val="28"/>
          <w:szCs w:val="28"/>
        </w:rPr>
        <w:t>四、拟投入项目人员汇总表</w:t>
      </w:r>
    </w:p>
    <w:p w14:paraId="3256C703">
      <w:pPr>
        <w:jc w:val="center"/>
        <w:rPr>
          <w:rFonts w:hint="eastAsia" w:ascii="宋体" w:hAnsi="宋体" w:eastAsia="宋体" w:cs="Times New Roman"/>
          <w:b/>
          <w:color w:val="000000"/>
          <w:sz w:val="28"/>
          <w:szCs w:val="28"/>
        </w:rPr>
      </w:pP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3F96D20">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6EA88A34">
      <w:pPr>
        <w:spacing w:line="360" w:lineRule="auto"/>
        <w:jc w:val="center"/>
        <w:rPr>
          <w:rFonts w:ascii="Times New Roman" w:hAnsi="Times New Roman" w:eastAsia="宋体" w:cs="Times New Roman"/>
          <w:b/>
          <w:sz w:val="36"/>
          <w:szCs w:val="36"/>
        </w:r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附件五</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D1D0322">
      <w:pPr>
        <w:spacing w:line="360" w:lineRule="auto"/>
        <w:rPr>
          <w:rFonts w:ascii="Times New Roman" w:hAnsi="Times New Roman" w:eastAsia="宋体" w:cs="Times New Roman"/>
          <w:b/>
          <w:sz w:val="28"/>
          <w:szCs w:val="28"/>
        </w:rPr>
      </w:pPr>
    </w:p>
    <w:p w14:paraId="4D0DEEE4">
      <w:pPr>
        <w:spacing w:line="360" w:lineRule="auto"/>
        <w:rPr>
          <w:rFonts w:ascii="Times New Roman" w:hAnsi="Times New Roman" w:eastAsia="宋体" w:cs="Times New Roman"/>
          <w:b/>
          <w:sz w:val="28"/>
          <w:szCs w:val="28"/>
        </w:rPr>
      </w:pPr>
    </w:p>
    <w:p w14:paraId="2A927BDE">
      <w:pPr>
        <w:spacing w:line="360" w:lineRule="auto"/>
        <w:rPr>
          <w:rFonts w:ascii="Times New Roman" w:hAnsi="Times New Roman" w:eastAsia="宋体" w:cs="Times New Roman"/>
          <w:b/>
          <w:sz w:val="28"/>
          <w:szCs w:val="28"/>
        </w:rPr>
      </w:pPr>
    </w:p>
    <w:p w14:paraId="50A6C1B9">
      <w:pPr>
        <w:spacing w:line="360" w:lineRule="auto"/>
        <w:rPr>
          <w:rFonts w:ascii="Times New Roman" w:hAnsi="Times New Roman" w:eastAsia="宋体" w:cs="Times New Roman"/>
          <w:b/>
          <w:sz w:val="28"/>
          <w:szCs w:val="28"/>
        </w:rPr>
      </w:pPr>
    </w:p>
    <w:p w14:paraId="2862BA63">
      <w:pPr>
        <w:spacing w:line="360" w:lineRule="auto"/>
        <w:rPr>
          <w:rFonts w:ascii="Times New Roman" w:hAnsi="Times New Roman" w:eastAsia="宋体" w:cs="Times New Roman"/>
          <w:b/>
          <w:sz w:val="28"/>
          <w:szCs w:val="28"/>
        </w:rPr>
      </w:pPr>
    </w:p>
    <w:p w14:paraId="6E953C2F">
      <w:pPr>
        <w:spacing w:line="360" w:lineRule="auto"/>
        <w:rPr>
          <w:rFonts w:ascii="Times New Roman" w:hAnsi="Times New Roman" w:eastAsia="宋体" w:cs="Times New Roman"/>
          <w:b/>
          <w:sz w:val="28"/>
          <w:szCs w:val="28"/>
        </w:rPr>
      </w:pPr>
    </w:p>
    <w:p w14:paraId="6E32B734">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附件六</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491A375D">
      <w:pPr>
        <w:autoSpaceDE w:val="0"/>
        <w:autoSpaceDN w:val="0"/>
        <w:spacing w:before="1"/>
        <w:jc w:val="left"/>
        <w:rPr>
          <w:rFonts w:hint="eastAsia" w:ascii="宋体" w:hAnsi="宋体" w:eastAsia="宋体" w:cs="宋体"/>
          <w:kern w:val="0"/>
          <w:sz w:val="14"/>
          <w:szCs w:val="24"/>
          <w:lang w:val="zh-CN" w:bidi="zh-CN"/>
        </w:rPr>
      </w:pPr>
    </w:p>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附件七、《技术条款偏离表》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79C3FDC1">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4159DDEF">
      <w:pPr>
        <w:spacing w:line="360" w:lineRule="auto"/>
        <w:jc w:val="center"/>
        <w:rPr>
          <w:rFonts w:hint="eastAsia" w:ascii="Times New Roman" w:hAnsi="宋体" w:eastAsia="宋体" w:cs="Times New Roman"/>
          <w:b/>
          <w:bCs/>
          <w:kern w:val="0"/>
          <w:sz w:val="24"/>
          <w:szCs w:val="24"/>
        </w:rPr>
      </w:pPr>
      <w:r>
        <w:rPr>
          <w:rFonts w:hint="eastAsia" w:ascii="Times New Roman" w:hAnsi="Times New Roman" w:eastAsia="宋体" w:cs="Times New Roman"/>
          <w:b/>
          <w:sz w:val="28"/>
          <w:szCs w:val="28"/>
        </w:rPr>
        <w:t>附件八、 实施</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技术方案（格式自拟）</w:t>
      </w:r>
    </w:p>
    <w:p w14:paraId="2FA3E4F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售后服务方案（格式自拟）</w:t>
      </w:r>
    </w:p>
    <w:p w14:paraId="3D942BC7">
      <w:pPr>
        <w:spacing w:line="360" w:lineRule="auto"/>
        <w:jc w:val="left"/>
        <w:rPr>
          <w:rFonts w:hint="eastAsia" w:ascii="Times New Roman" w:hAnsi="宋体" w:eastAsia="宋体" w:cs="Times New Roman"/>
          <w:kern w:val="0"/>
          <w:sz w:val="24"/>
          <w:szCs w:val="24"/>
        </w:rPr>
      </w:pPr>
    </w:p>
    <w:p w14:paraId="78604CC7">
      <w:pPr>
        <w:spacing w:line="360" w:lineRule="auto"/>
        <w:rPr>
          <w:rFonts w:hint="eastAsia" w:ascii="Times New Roman" w:hAnsi="宋体" w:eastAsia="宋体" w:cs="Times New Roman"/>
          <w:b/>
          <w:bCs/>
          <w:kern w:val="0"/>
          <w:sz w:val="24"/>
          <w:szCs w:val="24"/>
        </w:rPr>
      </w:pPr>
      <w:bookmarkStart w:id="17" w:name="_Toc434218975"/>
    </w:p>
    <w:p w14:paraId="216E662E">
      <w:pPr>
        <w:adjustRightInd w:val="0"/>
        <w:snapToGrid w:val="0"/>
        <w:spacing w:line="300" w:lineRule="auto"/>
        <w:rPr>
          <w:rFonts w:hint="eastAsia" w:ascii="宋体" w:hAnsi="宋体" w:eastAsia="宋体" w:cs="Times New Roman"/>
          <w:color w:val="000000"/>
          <w:szCs w:val="24"/>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附件九、无重大违法记录声明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437A07F7">
      <w:pPr>
        <w:adjustRightInd w:val="0"/>
        <w:snapToGrid w:val="0"/>
        <w:spacing w:line="300" w:lineRule="auto"/>
        <w:rPr>
          <w:rFonts w:hint="eastAsia" w:ascii="宋体" w:hAnsi="宋体" w:eastAsia="宋体" w:cs="宋体"/>
          <w:kern w:val="0"/>
          <w:sz w:val="24"/>
          <w:szCs w:val="24"/>
          <w:lang w:val="zh-CN" w:bidi="zh-CN"/>
        </w:rPr>
      </w:pPr>
    </w:p>
    <w:p w14:paraId="3B9074B5">
      <w:pPr>
        <w:adjustRightInd w:val="0"/>
        <w:snapToGrid w:val="0"/>
        <w:spacing w:line="300" w:lineRule="auto"/>
        <w:rPr>
          <w:rFonts w:hint="eastAsia" w:ascii="宋体" w:hAnsi="宋体" w:eastAsia="宋体" w:cs="宋体"/>
          <w:kern w:val="0"/>
          <w:sz w:val="24"/>
          <w:szCs w:val="24"/>
          <w:lang w:val="zh-CN" w:bidi="zh-CN"/>
        </w:rPr>
      </w:pPr>
    </w:p>
    <w:p w14:paraId="2FDA25C3">
      <w:pPr>
        <w:adjustRightInd w:val="0"/>
        <w:snapToGrid w:val="0"/>
        <w:spacing w:line="300" w:lineRule="auto"/>
        <w:rPr>
          <w:rFonts w:hint="eastAsia" w:ascii="宋体" w:hAnsi="宋体" w:eastAsia="宋体" w:cs="宋体"/>
          <w:kern w:val="0"/>
          <w:sz w:val="24"/>
          <w:szCs w:val="24"/>
          <w:lang w:val="zh-CN" w:bidi="zh-CN"/>
        </w:rPr>
      </w:pPr>
    </w:p>
    <w:p w14:paraId="5EE773CB">
      <w:pPr>
        <w:adjustRightInd w:val="0"/>
        <w:snapToGrid w:val="0"/>
        <w:spacing w:line="300" w:lineRule="auto"/>
        <w:rPr>
          <w:rFonts w:hint="eastAsia" w:ascii="宋体" w:hAnsi="宋体" w:eastAsia="宋体" w:cs="宋体"/>
          <w:kern w:val="0"/>
          <w:sz w:val="24"/>
          <w:szCs w:val="24"/>
          <w:lang w:val="zh-CN" w:bidi="zh-CN"/>
        </w:rPr>
      </w:pPr>
    </w:p>
    <w:p w14:paraId="7052174C">
      <w:pPr>
        <w:adjustRightInd w:val="0"/>
        <w:snapToGrid w:val="0"/>
        <w:spacing w:line="300" w:lineRule="auto"/>
        <w:rPr>
          <w:rFonts w:hint="eastAsia" w:ascii="宋体" w:hAnsi="宋体" w:eastAsia="宋体" w:cs="宋体"/>
          <w:kern w:val="0"/>
          <w:sz w:val="24"/>
          <w:szCs w:val="24"/>
          <w:lang w:val="zh-CN" w:bidi="zh-CN"/>
        </w:rPr>
      </w:pPr>
    </w:p>
    <w:p w14:paraId="1854B5AC">
      <w:pPr>
        <w:adjustRightInd w:val="0"/>
        <w:snapToGrid w:val="0"/>
        <w:spacing w:line="300" w:lineRule="auto"/>
        <w:jc w:val="left"/>
        <w:rPr>
          <w:rFonts w:hint="eastAsia" w:ascii="宋体" w:hAnsi="宋体" w:eastAsia="宋体" w:cs="Times New Roman"/>
          <w:b/>
          <w:color w:val="000000"/>
          <w:sz w:val="28"/>
          <w:szCs w:val="36"/>
        </w:rPr>
      </w:pPr>
      <w:r>
        <w:rPr>
          <w:rFonts w:hint="eastAsia" w:ascii="宋体" w:hAnsi="宋体" w:eastAsia="宋体" w:cs="Times New Roman"/>
          <w:b/>
          <w:color w:val="000000"/>
          <w:sz w:val="28"/>
          <w:szCs w:val="36"/>
        </w:rPr>
        <w:t>附件十、</w:t>
      </w:r>
      <w:bookmarkStart w:id="18" w:name="_Hlk117593844"/>
      <w:r>
        <w:rPr>
          <w:rFonts w:hint="eastAsia" w:ascii="宋体" w:hAnsi="宋体" w:eastAsia="宋体" w:cs="Times New Roman"/>
          <w:b/>
          <w:color w:val="000000"/>
          <w:sz w:val="28"/>
          <w:szCs w:val="36"/>
        </w:rPr>
        <w:t>具备履行合同所必需的设备和专业技术能力的声明</w:t>
      </w:r>
      <w:bookmarkEnd w:id="18"/>
    </w:p>
    <w:p w14:paraId="04CA5317">
      <w:pPr>
        <w:adjustRightInd w:val="0"/>
        <w:snapToGrid w:val="0"/>
        <w:spacing w:line="300" w:lineRule="auto"/>
        <w:rPr>
          <w:rFonts w:hint="eastAsia" w:ascii="宋体" w:hAnsi="宋体" w:eastAsia="宋体" w:cs="宋体"/>
          <w:kern w:val="0"/>
          <w:sz w:val="24"/>
          <w:szCs w:val="24"/>
          <w:lang w:val="zh-CN" w:bidi="zh-CN"/>
        </w:rPr>
      </w:pPr>
    </w:p>
    <w:p w14:paraId="60E25765">
      <w:pPr>
        <w:adjustRightInd w:val="0"/>
        <w:snapToGrid w:val="0"/>
        <w:spacing w:line="30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具备履行合同所必需的设备和专业技术能力的声明</w:t>
      </w:r>
    </w:p>
    <w:p w14:paraId="663FA6D0">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32EF73B2">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w:t>
      </w:r>
      <w:r>
        <w:rPr>
          <w:rFonts w:ascii="宋体" w:hAnsi="宋体" w:eastAsia="宋体" w:cs="宋体"/>
          <w:kern w:val="0"/>
          <w:sz w:val="24"/>
          <w:szCs w:val="24"/>
          <w:lang w:val="zh-CN" w:bidi="zh-CN"/>
        </w:rPr>
        <w:t xml:space="preserve">                             （</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名称）郑重声明：我公司具备履行本项采购合同所必需的设备和专业技术能力，为履行本项采购合同我单位具备如下主要设备和主要专业技术能力：</w:t>
      </w:r>
    </w:p>
    <w:p w14:paraId="2736505A">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主要设备有：</w:t>
      </w:r>
      <w:r>
        <w:rPr>
          <w:rFonts w:ascii="宋体" w:hAnsi="宋体" w:eastAsia="宋体" w:cs="宋体"/>
          <w:kern w:val="0"/>
          <w:sz w:val="24"/>
          <w:szCs w:val="24"/>
          <w:lang w:val="zh-CN" w:bidi="zh-CN"/>
        </w:rPr>
        <w:t xml:space="preserve">                          。( 若有 )</w:t>
      </w:r>
    </w:p>
    <w:p w14:paraId="69B55A9E">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主要专业技术能力有：</w:t>
      </w:r>
      <w:r>
        <w:rPr>
          <w:rFonts w:ascii="宋体" w:hAnsi="宋体" w:eastAsia="宋体" w:cs="宋体"/>
          <w:kern w:val="0"/>
          <w:sz w:val="24"/>
          <w:szCs w:val="24"/>
          <w:lang w:val="zh-CN" w:bidi="zh-CN"/>
        </w:rPr>
        <w:t xml:space="preserve">                  。( 若有 )</w:t>
      </w:r>
    </w:p>
    <w:p w14:paraId="6D625C00">
      <w:pPr>
        <w:adjustRightInd w:val="0"/>
        <w:snapToGrid w:val="0"/>
        <w:spacing w:line="300" w:lineRule="auto"/>
        <w:rPr>
          <w:rFonts w:hint="eastAsia" w:ascii="宋体" w:hAnsi="宋体" w:eastAsia="宋体" w:cs="宋体"/>
          <w:kern w:val="0"/>
          <w:sz w:val="24"/>
          <w:szCs w:val="24"/>
          <w:lang w:val="zh-CN" w:bidi="zh-CN"/>
        </w:rPr>
      </w:pPr>
    </w:p>
    <w:p w14:paraId="71706ED2">
      <w:pPr>
        <w:adjustRightInd w:val="0"/>
        <w:snapToGrid w:val="0"/>
        <w:spacing w:line="300" w:lineRule="auto"/>
        <w:rPr>
          <w:rFonts w:hint="eastAsia" w:ascii="宋体" w:hAnsi="宋体" w:eastAsia="宋体" w:cs="宋体"/>
          <w:kern w:val="0"/>
          <w:sz w:val="24"/>
          <w:szCs w:val="24"/>
          <w:lang w:val="zh-CN" w:bidi="zh-CN"/>
        </w:rPr>
      </w:pPr>
    </w:p>
    <w:p w14:paraId="01587431">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声明人：（公章）</w:t>
      </w:r>
    </w:p>
    <w:p w14:paraId="396E1FB1">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______年    月    日</w:t>
      </w:r>
    </w:p>
    <w:p w14:paraId="50C2A35D">
      <w:pPr>
        <w:adjustRightInd w:val="0"/>
        <w:snapToGrid w:val="0"/>
        <w:spacing w:line="300" w:lineRule="auto"/>
        <w:rPr>
          <w:rFonts w:hint="eastAsia" w:ascii="宋体" w:hAnsi="宋体" w:eastAsia="宋体" w:cs="Times New Roman"/>
          <w:color w:val="000000"/>
          <w:szCs w:val="24"/>
        </w:rPr>
      </w:pPr>
    </w:p>
    <w:bookmarkEnd w:id="15"/>
    <w:bookmarkEnd w:id="17"/>
    <w:p w14:paraId="560218D3">
      <w:pPr>
        <w:rPr>
          <w:rFonts w:hint="eastAsia"/>
        </w:rPr>
      </w:pPr>
    </w:p>
    <w:p w14:paraId="297F4207">
      <w:pPr>
        <w:rPr>
          <w:rFonts w:hint="eastAsia"/>
        </w:rPr>
      </w:pPr>
    </w:p>
    <w:p w14:paraId="1214C530">
      <w:pPr>
        <w:rPr>
          <w:rFonts w:hint="eastAsia"/>
        </w:rPr>
      </w:pPr>
    </w:p>
    <w:p w14:paraId="41DD7038">
      <w:pPr>
        <w:rPr>
          <w:rFonts w:hint="eastAsia"/>
        </w:rPr>
      </w:pPr>
    </w:p>
    <w:p w14:paraId="6726ED82">
      <w:pPr>
        <w:rPr>
          <w:rFonts w:hint="eastAsia"/>
        </w:rPr>
      </w:pPr>
    </w:p>
    <w:p w14:paraId="5B7273E9">
      <w:pPr>
        <w:spacing w:line="360" w:lineRule="auto"/>
        <w:rPr>
          <w:rFonts w:ascii="Times New Roman" w:hAnsi="Times New Roman" w:eastAsia="宋体" w:cs="Times New Roman"/>
          <w:b/>
          <w:sz w:val="28"/>
          <w:szCs w:val="28"/>
        </w:rPr>
      </w:pPr>
    </w:p>
    <w:p w14:paraId="50D589C2">
      <w:pPr>
        <w:spacing w:line="360" w:lineRule="auto"/>
        <w:rPr>
          <w:rFonts w:ascii="Times New Roman" w:hAnsi="Times New Roman" w:eastAsia="宋体" w:cs="Times New Roman"/>
          <w:b/>
          <w:sz w:val="28"/>
          <w:szCs w:val="28"/>
        </w:rPr>
      </w:pPr>
    </w:p>
    <w:p w14:paraId="2B12C8B2">
      <w:pPr>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附件十一：投标人认为需提供的其他资料（格式自拟）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微软雅黑"/>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auto"/>
    <w:pitch w:val="default"/>
    <w:sig w:usb0="00000000" w:usb1="00000000" w:usb2="00000010" w:usb3="00000000" w:csb0="00040000" w:csb1="00000000"/>
  </w:font>
  <w:font w:name="monospace">
    <w:altName w:val="HP Simplified Hans"/>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中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NLe">
    <w:altName w:val="Segoe Print"/>
    <w:panose1 w:val="00000000000000000000"/>
    <w:charset w:val="00"/>
    <w:family w:val="auto"/>
    <w:pitch w:val="default"/>
    <w:sig w:usb0="00000000" w:usb1="00000000" w:usb2="00000000" w:usb3="00000000" w:csb0="00000000" w:csb1="00000000"/>
  </w:font>
  <w:font w:name="7BKN_gb2312">
    <w:altName w:val="HP Simplified Hans"/>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NDVPKN">
    <w:altName w:val="HP Simplified Hans"/>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HP Simplified Hans"/>
    <w:panose1 w:val="00000000000000000000"/>
    <w:charset w:val="00"/>
    <w:family w:val="roman"/>
    <w:pitch w:val="default"/>
    <w:sig w:usb0="00000000" w:usb1="00000000" w:usb2="00000000" w:usb3="00000000" w:csb0="00040001" w:csb1="00000000"/>
  </w:font>
  <w:font w:name="*ndvpkn">
    <w:altName w:val="HP Simplified Hans"/>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0000012" w:usb3="00000000" w:csb0="0002000D" w:csb1="00000000"/>
  </w:font>
  <w:font w:name="方正姚体">
    <w:panose1 w:val="02010601030101010101"/>
    <w:charset w:val="86"/>
    <w:family w:val="auto"/>
    <w:pitch w:val="default"/>
    <w:sig w:usb0="00000003"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HP Simplified Hans">
    <w:panose1 w:val="020B0500000000000000"/>
    <w:charset w:val="86"/>
    <w:family w:val="auto"/>
    <w:pitch w:val="default"/>
    <w:sig w:usb0="A00002BF" w:usb1="38CF7CFA" w:usb2="00000016" w:usb3="00000000" w:csb0="2004011D" w:csb1="41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258365"/>
    </w:sdtPr>
    <w:sdtContent>
      <w:p w14:paraId="37AF39A3">
        <w:pPr>
          <w:pStyle w:val="34"/>
          <w:jc w:val="center"/>
          <w:rPr>
            <w:rFonts w:hint="eastAsia"/>
          </w:rPr>
        </w:pPr>
        <w:r>
          <w:fldChar w:fldCharType="begin"/>
        </w:r>
        <w:r>
          <w:instrText xml:space="preserve">PAGE   \* MERGEFORMAT</w:instrText>
        </w:r>
        <w:r>
          <w:fldChar w:fldCharType="separate"/>
        </w:r>
        <w:r>
          <w:rPr>
            <w:lang w:val="zh-CN"/>
          </w:rPr>
          <w:t>25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32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123BE"/>
    <w:rsid w:val="0003323C"/>
    <w:rsid w:val="000452C3"/>
    <w:rsid w:val="00045BFB"/>
    <w:rsid w:val="0004691B"/>
    <w:rsid w:val="000477A6"/>
    <w:rsid w:val="0007509A"/>
    <w:rsid w:val="00092D20"/>
    <w:rsid w:val="0009607A"/>
    <w:rsid w:val="00097866"/>
    <w:rsid w:val="000A151C"/>
    <w:rsid w:val="000B0C48"/>
    <w:rsid w:val="000B7E60"/>
    <w:rsid w:val="000C7A92"/>
    <w:rsid w:val="000D27C5"/>
    <w:rsid w:val="000F57BA"/>
    <w:rsid w:val="00102022"/>
    <w:rsid w:val="00103337"/>
    <w:rsid w:val="00114630"/>
    <w:rsid w:val="00142326"/>
    <w:rsid w:val="00155DBD"/>
    <w:rsid w:val="00163E43"/>
    <w:rsid w:val="00171AE8"/>
    <w:rsid w:val="00184BA3"/>
    <w:rsid w:val="00191021"/>
    <w:rsid w:val="001A22F5"/>
    <w:rsid w:val="001B5DC6"/>
    <w:rsid w:val="001D4435"/>
    <w:rsid w:val="001D55F3"/>
    <w:rsid w:val="001F213C"/>
    <w:rsid w:val="001F4EA7"/>
    <w:rsid w:val="002010CF"/>
    <w:rsid w:val="00211C98"/>
    <w:rsid w:val="0021707E"/>
    <w:rsid w:val="0022124C"/>
    <w:rsid w:val="00233AAB"/>
    <w:rsid w:val="00242895"/>
    <w:rsid w:val="00244284"/>
    <w:rsid w:val="0024592F"/>
    <w:rsid w:val="00252E01"/>
    <w:rsid w:val="0025618A"/>
    <w:rsid w:val="002848BB"/>
    <w:rsid w:val="002921F8"/>
    <w:rsid w:val="002921FC"/>
    <w:rsid w:val="00292F81"/>
    <w:rsid w:val="00296D7E"/>
    <w:rsid w:val="002C2DE6"/>
    <w:rsid w:val="002C710D"/>
    <w:rsid w:val="002D431F"/>
    <w:rsid w:val="002D4FFD"/>
    <w:rsid w:val="002D6EC4"/>
    <w:rsid w:val="0031519F"/>
    <w:rsid w:val="00325CB7"/>
    <w:rsid w:val="003361C7"/>
    <w:rsid w:val="00375DDC"/>
    <w:rsid w:val="003A129C"/>
    <w:rsid w:val="003A2ACE"/>
    <w:rsid w:val="003C76C1"/>
    <w:rsid w:val="003D276F"/>
    <w:rsid w:val="003D393E"/>
    <w:rsid w:val="003D4E19"/>
    <w:rsid w:val="003E0F25"/>
    <w:rsid w:val="003F129B"/>
    <w:rsid w:val="004335BC"/>
    <w:rsid w:val="00464852"/>
    <w:rsid w:val="00464F07"/>
    <w:rsid w:val="004670CF"/>
    <w:rsid w:val="00483AF2"/>
    <w:rsid w:val="00484B1A"/>
    <w:rsid w:val="00486A2C"/>
    <w:rsid w:val="00495542"/>
    <w:rsid w:val="004D219A"/>
    <w:rsid w:val="004D5CFE"/>
    <w:rsid w:val="004F3478"/>
    <w:rsid w:val="00500971"/>
    <w:rsid w:val="005255AD"/>
    <w:rsid w:val="0054732A"/>
    <w:rsid w:val="00552008"/>
    <w:rsid w:val="00560AFB"/>
    <w:rsid w:val="00577FFD"/>
    <w:rsid w:val="005B7FF9"/>
    <w:rsid w:val="005C40F9"/>
    <w:rsid w:val="005C55ED"/>
    <w:rsid w:val="005D752A"/>
    <w:rsid w:val="005E5153"/>
    <w:rsid w:val="00632441"/>
    <w:rsid w:val="0063292E"/>
    <w:rsid w:val="00640980"/>
    <w:rsid w:val="00646F14"/>
    <w:rsid w:val="0066257C"/>
    <w:rsid w:val="006B235C"/>
    <w:rsid w:val="006B6B07"/>
    <w:rsid w:val="006E7114"/>
    <w:rsid w:val="006F6DFA"/>
    <w:rsid w:val="00700D1A"/>
    <w:rsid w:val="00703F5C"/>
    <w:rsid w:val="007417A8"/>
    <w:rsid w:val="00750960"/>
    <w:rsid w:val="007607B3"/>
    <w:rsid w:val="00763D27"/>
    <w:rsid w:val="007739E9"/>
    <w:rsid w:val="007A47CB"/>
    <w:rsid w:val="007B309E"/>
    <w:rsid w:val="007B541E"/>
    <w:rsid w:val="0080043C"/>
    <w:rsid w:val="00800684"/>
    <w:rsid w:val="008110AF"/>
    <w:rsid w:val="00815E81"/>
    <w:rsid w:val="00821D45"/>
    <w:rsid w:val="008239EE"/>
    <w:rsid w:val="00850066"/>
    <w:rsid w:val="00855981"/>
    <w:rsid w:val="00880EBD"/>
    <w:rsid w:val="00891E2F"/>
    <w:rsid w:val="008B51BD"/>
    <w:rsid w:val="008C1CBA"/>
    <w:rsid w:val="008D614E"/>
    <w:rsid w:val="008E0405"/>
    <w:rsid w:val="008E087F"/>
    <w:rsid w:val="008E5536"/>
    <w:rsid w:val="008F1701"/>
    <w:rsid w:val="009209BE"/>
    <w:rsid w:val="00922744"/>
    <w:rsid w:val="00941DC9"/>
    <w:rsid w:val="009553C8"/>
    <w:rsid w:val="00955D97"/>
    <w:rsid w:val="009766E3"/>
    <w:rsid w:val="009976B9"/>
    <w:rsid w:val="009A1877"/>
    <w:rsid w:val="009A64DA"/>
    <w:rsid w:val="009C1E72"/>
    <w:rsid w:val="009D63AB"/>
    <w:rsid w:val="009E1571"/>
    <w:rsid w:val="009F57A2"/>
    <w:rsid w:val="00A11BFB"/>
    <w:rsid w:val="00A27FB2"/>
    <w:rsid w:val="00A35246"/>
    <w:rsid w:val="00A56103"/>
    <w:rsid w:val="00AD0670"/>
    <w:rsid w:val="00B030B2"/>
    <w:rsid w:val="00B2172F"/>
    <w:rsid w:val="00B321BA"/>
    <w:rsid w:val="00B44235"/>
    <w:rsid w:val="00B66A71"/>
    <w:rsid w:val="00B76CD8"/>
    <w:rsid w:val="00B9434A"/>
    <w:rsid w:val="00BA1CC0"/>
    <w:rsid w:val="00BA4C0A"/>
    <w:rsid w:val="00BB674E"/>
    <w:rsid w:val="00BC23D1"/>
    <w:rsid w:val="00BC6E83"/>
    <w:rsid w:val="00BD672B"/>
    <w:rsid w:val="00BE22B3"/>
    <w:rsid w:val="00BF2C19"/>
    <w:rsid w:val="00BF543A"/>
    <w:rsid w:val="00C0684E"/>
    <w:rsid w:val="00C20743"/>
    <w:rsid w:val="00C22F77"/>
    <w:rsid w:val="00C3234E"/>
    <w:rsid w:val="00C3748A"/>
    <w:rsid w:val="00C47896"/>
    <w:rsid w:val="00C71335"/>
    <w:rsid w:val="00C73C8B"/>
    <w:rsid w:val="00C750C6"/>
    <w:rsid w:val="00C80489"/>
    <w:rsid w:val="00C9190A"/>
    <w:rsid w:val="00CE0D66"/>
    <w:rsid w:val="00CE4869"/>
    <w:rsid w:val="00CE6763"/>
    <w:rsid w:val="00D04CE9"/>
    <w:rsid w:val="00D14EE1"/>
    <w:rsid w:val="00D30C22"/>
    <w:rsid w:val="00D507C5"/>
    <w:rsid w:val="00D56034"/>
    <w:rsid w:val="00D83D25"/>
    <w:rsid w:val="00D86264"/>
    <w:rsid w:val="00D93F24"/>
    <w:rsid w:val="00DA4F45"/>
    <w:rsid w:val="00DB11B1"/>
    <w:rsid w:val="00DB1266"/>
    <w:rsid w:val="00DB6016"/>
    <w:rsid w:val="00DC17D7"/>
    <w:rsid w:val="00DC5BCB"/>
    <w:rsid w:val="00DC7DDD"/>
    <w:rsid w:val="00DD3613"/>
    <w:rsid w:val="00DE0DEA"/>
    <w:rsid w:val="00DE3573"/>
    <w:rsid w:val="00DE725A"/>
    <w:rsid w:val="00DE7832"/>
    <w:rsid w:val="00E26226"/>
    <w:rsid w:val="00E315E7"/>
    <w:rsid w:val="00E3703C"/>
    <w:rsid w:val="00E51CFC"/>
    <w:rsid w:val="00E62DC8"/>
    <w:rsid w:val="00E647AA"/>
    <w:rsid w:val="00E70B1F"/>
    <w:rsid w:val="00EA21B5"/>
    <w:rsid w:val="00EB458D"/>
    <w:rsid w:val="00ED36B1"/>
    <w:rsid w:val="00EF5EDF"/>
    <w:rsid w:val="00F040FD"/>
    <w:rsid w:val="00F042B7"/>
    <w:rsid w:val="00F4245C"/>
    <w:rsid w:val="00F53AF4"/>
    <w:rsid w:val="00F541F9"/>
    <w:rsid w:val="00F561B4"/>
    <w:rsid w:val="00F61A1B"/>
    <w:rsid w:val="00F661B1"/>
    <w:rsid w:val="00F76FCA"/>
    <w:rsid w:val="00F81F54"/>
    <w:rsid w:val="00F95A8A"/>
    <w:rsid w:val="00FA04BE"/>
    <w:rsid w:val="00FB77D7"/>
    <w:rsid w:val="00FE0476"/>
    <w:rsid w:val="4EDEAD2B"/>
    <w:rsid w:val="6EA8645C"/>
    <w:rsid w:val="776FE406"/>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qFormat/>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qFormat/>
    <w:uiPriority w:val="99"/>
    <w:pPr>
      <w:ind w:firstLine="420" w:firstLineChars="200"/>
    </w:pPr>
  </w:style>
  <w:style w:type="paragraph" w:customStyle="1" w:styleId="55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DF48-813E-4BAD-8443-C261B7F927E8}">
  <ds:schemaRefs/>
</ds:datastoreItem>
</file>

<file path=docProps/app.xml><?xml version="1.0" encoding="utf-8"?>
<Properties xmlns="http://schemas.openxmlformats.org/officeDocument/2006/extended-properties" xmlns:vt="http://schemas.openxmlformats.org/officeDocument/2006/docPropsVTypes">
  <Template>Normal</Template>
  <Pages>41</Pages>
  <Words>8367</Words>
  <Characters>8635</Characters>
  <Lines>169</Lines>
  <Paragraphs>47</Paragraphs>
  <TotalTime>6</TotalTime>
  <ScaleCrop>false</ScaleCrop>
  <LinksUpToDate>false</LinksUpToDate>
  <CharactersWithSpaces>8711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2024-10-14T01:51:00Z</dcterms:created>
  <dc:creator>张 屹</dc:creator>
  <cp:lastModifiedBy>努力努力再努力的吴小宝</cp:lastModifiedBy>
  <cp:lastPrinted>2023-03-04T14:19:00Z</cp:lastPrinted>
  <dcterms:modified xsi:type="dcterms:W3CDTF">2024-10-29T03:18:23Z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523CA1C461EB4C16AB3B21F4657F5913_13</vt:lpwstr>
  </property>
</Properties>
</file>